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5" w:rsidRDefault="00F63595"/>
    <w:tbl>
      <w:tblPr>
        <w:tblW w:w="1470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  <w:gridCol w:w="1881"/>
        <w:gridCol w:w="568"/>
        <w:gridCol w:w="2250"/>
        <w:gridCol w:w="1514"/>
        <w:gridCol w:w="1710"/>
      </w:tblGrid>
      <w:tr w:rsidR="00F71479" w:rsidRPr="00F71479" w:rsidTr="00D718A3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BA8" w:rsidRPr="00F22BA8" w:rsidRDefault="00F22BA8" w:rsidP="00F22BA8">
            <w:pPr>
              <w:jc w:val="center"/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</w:pPr>
            <w:r w:rsidRPr="00F22BA8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 xml:space="preserve">Import </w:t>
            </w:r>
            <w:r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kajszi</w:t>
            </w:r>
            <w:r w:rsidRPr="00F22BA8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oltvány ajánlati lista, 20</w:t>
            </w:r>
            <w:r w:rsidR="002E00DF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2</w:t>
            </w:r>
            <w:r w:rsidR="00DC1D7F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3</w:t>
            </w:r>
            <w:r w:rsidRPr="00F22BA8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. ősz</w:t>
            </w:r>
          </w:p>
          <w:p w:rsidR="00F22BA8" w:rsidRPr="00F22BA8" w:rsidRDefault="00F22BA8" w:rsidP="00F22BA8">
            <w:pPr>
              <w:jc w:val="center"/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</w:pPr>
            <w:r w:rsidRPr="00F22BA8"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  <w:t>Fytos Faiskola (CZ)</w:t>
            </w:r>
          </w:p>
          <w:p w:rsidR="00F22BA8" w:rsidRPr="00F22BA8" w:rsidRDefault="00F22BA8" w:rsidP="00F22BA8">
            <w:pPr>
              <w:jc w:val="center"/>
              <w:rPr>
                <w:rFonts w:ascii="Arial Black" w:hAnsi="Arial Black" w:cs="Calibri"/>
                <w:sz w:val="24"/>
                <w:szCs w:val="24"/>
                <w:u w:val="single"/>
                <w:vertAlign w:val="baseline"/>
                <w:lang w:val="sk-SK" w:eastAsia="cs-CZ"/>
              </w:rPr>
            </w:pPr>
          </w:p>
          <w:p w:rsidR="00F22BA8" w:rsidRPr="00F22BA8" w:rsidRDefault="00F22BA8" w:rsidP="00F22BA8">
            <w:pPr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</w:pPr>
            <w:r w:rsidRPr="00F22BA8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 xml:space="preserve">Árak és fizetési feltételek: árajánlat kérés esetén mennyiségtől függően kalkulálunk árakat és azok Vevők részéről való elfogadása után, </w:t>
            </w:r>
            <w:r w:rsidR="00DC1D7F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5</w:t>
            </w:r>
            <w:r w:rsidRPr="00F22BA8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0% előleget kérünk befizetni. Szállításkor a vételár hátralék kerül kifizetésre a Vevők részéről. Az oltványok kérésre fizethetők Ft-ban is és EUR-ban is. A  licence-díjakat az árba beépítjük.</w:t>
            </w:r>
          </w:p>
          <w:p w:rsidR="00F22BA8" w:rsidRPr="00F22BA8" w:rsidRDefault="00F22BA8" w:rsidP="00F22BA8">
            <w:pPr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</w:pPr>
          </w:p>
          <w:p w:rsidR="00F22BA8" w:rsidRPr="00F22BA8" w:rsidRDefault="00F22BA8" w:rsidP="00F22BA8">
            <w:pPr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</w:pPr>
            <w:r w:rsidRPr="00F22BA8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Szállítás: várhatóan 20</w:t>
            </w:r>
            <w:r w:rsidR="002D18EC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2</w:t>
            </w:r>
            <w:r w:rsidR="00DC1D7F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3</w:t>
            </w:r>
            <w:bookmarkStart w:id="0" w:name="_GoBack"/>
            <w:bookmarkEnd w:id="0"/>
            <w:r w:rsidRPr="00F22BA8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 xml:space="preserve">. november </w:t>
            </w:r>
            <w:r w:rsidR="00DC1D7F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>második</w:t>
            </w:r>
            <w:r w:rsidRPr="00F22BA8">
              <w:rPr>
                <w:rFonts w:ascii="Calibri" w:hAnsi="Calibri" w:cs="Times New Roman"/>
                <w:sz w:val="22"/>
                <w:szCs w:val="22"/>
                <w:vertAlign w:val="baseline"/>
                <w:lang w:val="sk-SK" w:eastAsia="cs-CZ"/>
              </w:rPr>
              <w:t xml:space="preserve"> hetétől szállíthatók az oltványok, Dánszentmiklósról, a hűtőházból. Minden vevőt a szállítás pontos idejéről előre, telefonon értesítünk!</w:t>
            </w:r>
          </w:p>
          <w:p w:rsidR="0045773F" w:rsidRPr="0045773F" w:rsidRDefault="0045773F" w:rsidP="00092BA2">
            <w:pPr>
              <w:rPr>
                <w:bCs/>
                <w:color w:val="000000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</w:tr>
      <w:tr w:rsidR="00F71479" w:rsidRPr="00F71479" w:rsidTr="00D718A3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39DF" w:rsidRDefault="00DA39DF" w:rsidP="00F71479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  <w:vertAlign w:val="baseline"/>
              </w:rPr>
            </w:pPr>
          </w:p>
          <w:tbl>
            <w:tblPr>
              <w:tblW w:w="6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515"/>
              <w:gridCol w:w="1325"/>
              <w:gridCol w:w="1480"/>
              <w:gridCol w:w="1480"/>
            </w:tblGrid>
            <w:tr w:rsidR="009B4DF4" w:rsidRPr="009B4DF4" w:rsidTr="00AB0840">
              <w:trPr>
                <w:trHeight w:val="25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</w:pPr>
                  <w:r w:rsidRPr="009B4DF4"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>fajta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7A2A57" w:rsidP="00AC6B2D">
                  <w:pPr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 xml:space="preserve">     </w:t>
                  </w:r>
                  <w:proofErr w:type="spellStart"/>
                  <w:r w:rsidR="00AC6B2D"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>PPV-rezisztens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</w:pPr>
                  <w:r w:rsidRPr="009B4DF4"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>alany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</w:pPr>
                  <w:r w:rsidRPr="009B4DF4"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>mennyiség</w:t>
                  </w:r>
                  <w:r w:rsidR="00E37732">
                    <w:rPr>
                      <w:bCs/>
                      <w:color w:val="000000"/>
                      <w:sz w:val="18"/>
                      <w:szCs w:val="18"/>
                      <w:vertAlign w:val="baseline"/>
                    </w:rPr>
                    <w:t xml:space="preserve"> (db)</w:t>
                  </w:r>
                </w:p>
              </w:tc>
            </w:tr>
            <w:tr w:rsidR="009B4DF4" w:rsidRPr="009B4DF4" w:rsidTr="00092BA2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227C92" w:rsidRDefault="00092BA2" w:rsidP="009B4DF4">
                  <w:pPr>
                    <w:rPr>
                      <w:i/>
                      <w:color w:val="000000"/>
                      <w:vertAlign w:val="baseline"/>
                    </w:rPr>
                  </w:pP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Tsunami</w:t>
                  </w:r>
                  <w:r w:rsidRPr="00227C92">
                    <w:rPr>
                      <w:i/>
                      <w:color w:val="000000"/>
                    </w:rP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227C92" w:rsidRDefault="00092BA2" w:rsidP="009B4DF4">
                  <w:pPr>
                    <w:jc w:val="center"/>
                    <w:rPr>
                      <w:b w:val="0"/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227C92"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160D38" w:rsidRPr="009B4DF4" w:rsidTr="00092BA2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160D38" w:rsidRPr="00160D38" w:rsidRDefault="00160D38">
                  <w:pPr>
                    <w:rPr>
                      <w:i/>
                      <w:highlight w:val="yellow"/>
                    </w:rPr>
                  </w:pPr>
                  <w:proofErr w:type="spellStart"/>
                  <w:r w:rsidRPr="00160D38">
                    <w:rPr>
                      <w:i/>
                      <w:highlight w:val="yellow"/>
                      <w:vertAlign w:val="baseline"/>
                    </w:rPr>
                    <w:t>Samurai</w:t>
                  </w:r>
                  <w:r w:rsidRPr="00160D38">
                    <w:rPr>
                      <w:i/>
                      <w:highlight w:val="yellow"/>
                    </w:rP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jc w:val="center"/>
                    <w:rPr>
                      <w:b w:val="0"/>
                      <w:color w:val="000000"/>
                      <w:highlight w:val="yellow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jc w:val="center"/>
                    <w:rPr>
                      <w:i/>
                      <w:color w:val="000000"/>
                      <w:highlight w:val="yellow"/>
                      <w:vertAlign w:val="baseline"/>
                    </w:rPr>
                  </w:pPr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 xml:space="preserve">St. </w:t>
                  </w:r>
                  <w:proofErr w:type="spellStart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>Julien</w:t>
                  </w:r>
                  <w:proofErr w:type="spellEnd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 xml:space="preserve"> </w:t>
                  </w:r>
                  <w:proofErr w:type="gramStart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jc w:val="center"/>
                    <w:rPr>
                      <w:b w:val="0"/>
                      <w:color w:val="000000"/>
                      <w:highlight w:val="yellow"/>
                      <w:vertAlign w:val="baseline"/>
                    </w:rPr>
                  </w:pPr>
                </w:p>
              </w:tc>
            </w:tr>
            <w:tr w:rsidR="00DD50C8" w:rsidRPr="009B4DF4" w:rsidTr="00092BA2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</w:tcPr>
                <w:p w:rsidR="00DD50C8" w:rsidRPr="00092BA2" w:rsidRDefault="00092BA2">
                  <w:proofErr w:type="spellStart"/>
                  <w:r>
                    <w:rPr>
                      <w:vertAlign w:val="baseline"/>
                    </w:rPr>
                    <w:t>Harogem</w:t>
                  </w:r>
                  <w: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D50C8" w:rsidRPr="009B4DF4" w:rsidRDefault="00DD50C8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D50C8" w:rsidRPr="009B4DF4" w:rsidRDefault="00092BA2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  <w:r w:rsidRPr="00092BA2">
                    <w:rPr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092BA2">
                    <w:rPr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092BA2">
                    <w:rPr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092BA2">
                    <w:rPr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D50C8" w:rsidRPr="009B4DF4" w:rsidRDefault="00DD50C8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9B4DF4" w:rsidRPr="009B4DF4" w:rsidTr="00AB0840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rPr>
                      <w:i/>
                      <w:color w:val="000000"/>
                      <w:vertAlign w:val="baseline"/>
                    </w:rPr>
                  </w:pPr>
                  <w:proofErr w:type="spellStart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Bergeron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160D38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  <w:r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9B4DF4" w:rsidRPr="009B4DF4" w:rsidTr="00092BA2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092BA2" w:rsidRDefault="00092BA2" w:rsidP="009B4DF4">
                  <w:pPr>
                    <w:rPr>
                      <w:color w:val="000000"/>
                    </w:rPr>
                  </w:pPr>
                  <w:proofErr w:type="spellStart"/>
                  <w:r w:rsidRPr="00092BA2">
                    <w:rPr>
                      <w:color w:val="000000"/>
                      <w:vertAlign w:val="baseline"/>
                    </w:rPr>
                    <w:t>Adriana</w:t>
                  </w:r>
                  <w:r>
                    <w:rPr>
                      <w:color w:val="000000"/>
                    </w:rP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AC6B2D" w:rsidP="0007477D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  <w:r>
                    <w:rPr>
                      <w:b w:val="0"/>
                      <w:color w:val="000000"/>
                      <w:vertAlign w:val="baseline"/>
                    </w:rPr>
                    <w:t>+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092BA2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  <w:r w:rsidRPr="00092BA2">
                    <w:rPr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092BA2">
                    <w:rPr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092BA2">
                    <w:rPr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092BA2">
                    <w:rPr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9B4DF4" w:rsidRPr="009B4DF4" w:rsidTr="00092BA2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092BA2" w:rsidRDefault="00092BA2" w:rsidP="009B4DF4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vertAlign w:val="baseline"/>
                    </w:rPr>
                    <w:t>Betinka</w:t>
                  </w:r>
                  <w:r>
                    <w:rPr>
                      <w:color w:val="000000"/>
                    </w:rP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AC6B2D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  <w:r>
                    <w:rPr>
                      <w:b w:val="0"/>
                      <w:color w:val="000000"/>
                      <w:vertAlign w:val="baseline"/>
                    </w:rPr>
                    <w:t>+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092BA2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  <w:r w:rsidRPr="00092BA2">
                    <w:rPr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092BA2">
                    <w:rPr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092BA2">
                    <w:rPr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092BA2">
                    <w:rPr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9B4DF4" w:rsidRPr="009B4DF4" w:rsidTr="00AB0840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rPr>
                      <w:i/>
                      <w:color w:val="000000"/>
                      <w:vertAlign w:val="baseline"/>
                    </w:rPr>
                  </w:pPr>
                  <w:proofErr w:type="spellStart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Bhart</w:t>
                  </w:r>
                  <w:proofErr w:type="spellEnd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 xml:space="preserve"> (</w:t>
                  </w:r>
                  <w:proofErr w:type="spellStart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Orangered</w:t>
                  </w:r>
                  <w:proofErr w:type="spellEnd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)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DD50C8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227C92"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9B4DF4" w:rsidRPr="009B4DF4" w:rsidTr="00AB0840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rPr>
                      <w:i/>
                      <w:color w:val="000000"/>
                      <w:vertAlign w:val="baseline"/>
                    </w:rPr>
                  </w:pPr>
                  <w:proofErr w:type="spellStart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Goldrich</w:t>
                  </w:r>
                  <w:proofErr w:type="spellEnd"/>
                  <w:r w:rsidR="00AB0840" w:rsidRPr="00227C92">
                    <w:rPr>
                      <w:bCs/>
                      <w:i/>
                      <w:color w:val="000000"/>
                      <w:vertAlign w:val="baseline"/>
                    </w:rPr>
                    <w:t xml:space="preserve"> </w:t>
                  </w:r>
                  <w:proofErr w:type="spellStart"/>
                  <w:r w:rsidR="00AB0840" w:rsidRPr="00227C92">
                    <w:rPr>
                      <w:i/>
                      <w:color w:val="000000"/>
                      <w:vertAlign w:val="baseline"/>
                    </w:rPr>
                    <w:t>Sungiant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227C92" w:rsidRDefault="009B4DF4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227C92"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4DF4" w:rsidRPr="009B4DF4" w:rsidRDefault="009B4DF4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DD50C8" w:rsidRPr="009B4DF4" w:rsidTr="00AB0840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160D38" w:rsidP="009B4DF4">
                  <w:pPr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i/>
                      <w:color w:val="000000"/>
                      <w:vertAlign w:val="baseline"/>
                    </w:rPr>
                    <w:t>Hungarian</w:t>
                  </w:r>
                  <w:proofErr w:type="spellEnd"/>
                  <w:r>
                    <w:rPr>
                      <w:i/>
                      <w:color w:val="000000"/>
                      <w:vertAlign w:val="baseline"/>
                    </w:rPr>
                    <w:t xml:space="preserve"> beste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DD50C8" w:rsidP="009B4DF4">
                  <w:pPr>
                    <w:jc w:val="center"/>
                    <w:rPr>
                      <w:b w:val="0"/>
                      <w:i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DD50C8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227C92"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9B4DF4" w:rsidRDefault="00DD50C8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DD50C8" w:rsidRPr="009B4DF4" w:rsidTr="00160D38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DD50C8" w:rsidP="009B4DF4">
                  <w:pPr>
                    <w:rPr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 xml:space="preserve">Spring </w:t>
                  </w:r>
                  <w:proofErr w:type="spellStart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>Blush</w:t>
                  </w:r>
                  <w:r w:rsidR="00AB0840" w:rsidRPr="00227C92">
                    <w:rPr>
                      <w:bCs/>
                      <w:i/>
                      <w:color w:val="000000"/>
                    </w:rPr>
                    <w:t>R</w:t>
                  </w:r>
                  <w:proofErr w:type="spellEnd"/>
                  <w:r w:rsidRPr="00227C92">
                    <w:rPr>
                      <w:bCs/>
                      <w:i/>
                      <w:color w:val="000000"/>
                      <w:vertAlign w:val="baseline"/>
                    </w:rPr>
                    <w:t xml:space="preserve"> 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DD50C8" w:rsidP="009B4DF4">
                  <w:pPr>
                    <w:jc w:val="center"/>
                    <w:rPr>
                      <w:b w:val="0"/>
                      <w:i/>
                      <w:color w:val="000000"/>
                      <w:vertAlign w:val="baseline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227C92" w:rsidRDefault="00DD50C8" w:rsidP="009B4DF4">
                  <w:pPr>
                    <w:jc w:val="center"/>
                    <w:rPr>
                      <w:i/>
                      <w:color w:val="000000"/>
                      <w:vertAlign w:val="baseline"/>
                    </w:rPr>
                  </w:pPr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St. </w:t>
                  </w:r>
                  <w:proofErr w:type="spellStart"/>
                  <w:r w:rsidRPr="00227C92">
                    <w:rPr>
                      <w:i/>
                      <w:color w:val="000000"/>
                      <w:vertAlign w:val="baseline"/>
                    </w:rPr>
                    <w:t>Julien</w:t>
                  </w:r>
                  <w:proofErr w:type="spellEnd"/>
                  <w:r w:rsidRPr="00227C92">
                    <w:rPr>
                      <w:i/>
                      <w:color w:val="000000"/>
                      <w:vertAlign w:val="baseline"/>
                    </w:rPr>
                    <w:t xml:space="preserve"> </w:t>
                  </w:r>
                  <w:proofErr w:type="gramStart"/>
                  <w:r w:rsidRPr="00227C92">
                    <w:rPr>
                      <w:i/>
                      <w:color w:val="000000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50C8" w:rsidRPr="009B4DF4" w:rsidRDefault="00DD50C8" w:rsidP="009B4DF4">
                  <w:pPr>
                    <w:jc w:val="center"/>
                    <w:rPr>
                      <w:b w:val="0"/>
                      <w:color w:val="000000"/>
                      <w:vertAlign w:val="baseline"/>
                    </w:rPr>
                  </w:pPr>
                </w:p>
              </w:tc>
            </w:tr>
            <w:tr w:rsidR="00160D38" w:rsidRPr="009B4DF4" w:rsidTr="00160D38">
              <w:trPr>
                <w:trHeight w:val="300"/>
              </w:trPr>
              <w:tc>
                <w:tcPr>
                  <w:tcW w:w="23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rPr>
                      <w:bCs/>
                      <w:i/>
                      <w:color w:val="000000"/>
                      <w:highlight w:val="yellow"/>
                    </w:rPr>
                  </w:pPr>
                  <w:proofErr w:type="spellStart"/>
                  <w:r w:rsidRPr="00160D38">
                    <w:rPr>
                      <w:bCs/>
                      <w:i/>
                      <w:color w:val="000000"/>
                      <w:highlight w:val="yellow"/>
                      <w:vertAlign w:val="baseline"/>
                    </w:rPr>
                    <w:t>Farbuz</w:t>
                  </w:r>
                  <w:r w:rsidRPr="00160D38">
                    <w:rPr>
                      <w:bCs/>
                      <w:i/>
                      <w:color w:val="000000"/>
                      <w:highlight w:val="yellow"/>
                    </w:rPr>
                    <w:t>R</w:t>
                  </w:r>
                  <w:proofErr w:type="spellEnd"/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AC6B2D" w:rsidP="009B4DF4">
                  <w:pPr>
                    <w:jc w:val="center"/>
                    <w:rPr>
                      <w:b w:val="0"/>
                      <w:i/>
                      <w:color w:val="000000"/>
                      <w:highlight w:val="yellow"/>
                      <w:vertAlign w:val="baseline"/>
                    </w:rPr>
                  </w:pPr>
                  <w:r>
                    <w:rPr>
                      <w:b w:val="0"/>
                      <w:i/>
                      <w:color w:val="000000"/>
                      <w:highlight w:val="yellow"/>
                      <w:vertAlign w:val="baseline"/>
                    </w:rPr>
                    <w:t>+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jc w:val="center"/>
                    <w:rPr>
                      <w:i/>
                      <w:color w:val="000000"/>
                      <w:highlight w:val="yellow"/>
                      <w:vertAlign w:val="baseline"/>
                    </w:rPr>
                  </w:pPr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 xml:space="preserve">St. </w:t>
                  </w:r>
                  <w:proofErr w:type="spellStart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>Julien</w:t>
                  </w:r>
                  <w:proofErr w:type="spellEnd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 xml:space="preserve"> </w:t>
                  </w:r>
                  <w:proofErr w:type="gramStart"/>
                  <w:r w:rsidRPr="00160D38">
                    <w:rPr>
                      <w:i/>
                      <w:color w:val="000000"/>
                      <w:highlight w:val="yellow"/>
                      <w:vertAlign w:val="baseline"/>
                    </w:rPr>
                    <w:t>A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60D38" w:rsidRPr="00160D38" w:rsidRDefault="00160D38" w:rsidP="009B4DF4">
                  <w:pPr>
                    <w:jc w:val="center"/>
                    <w:rPr>
                      <w:b w:val="0"/>
                      <w:color w:val="000000"/>
                      <w:highlight w:val="yellow"/>
                      <w:vertAlign w:val="baseline"/>
                    </w:rPr>
                  </w:pPr>
                </w:p>
              </w:tc>
            </w:tr>
          </w:tbl>
          <w:p w:rsidR="00DA39DF" w:rsidRPr="00F71479" w:rsidRDefault="00DA39DF" w:rsidP="00F71479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  <w:vertAlign w:val="baseli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479" w:rsidRPr="00F71479" w:rsidRDefault="00F71479" w:rsidP="00F71479">
            <w:pPr>
              <w:rPr>
                <w:b w:val="0"/>
                <w:vertAlign w:val="baseline"/>
              </w:rPr>
            </w:pPr>
          </w:p>
        </w:tc>
      </w:tr>
    </w:tbl>
    <w:p w:rsidR="00CC1FED" w:rsidRDefault="00CC1FED" w:rsidP="0051393D">
      <w:pPr>
        <w:rPr>
          <w:b w:val="0"/>
          <w:vertAlign w:val="baseline"/>
        </w:rPr>
      </w:pPr>
    </w:p>
    <w:p w:rsidR="00F22BA8" w:rsidRPr="00160D38" w:rsidRDefault="00160D38" w:rsidP="003E1219">
      <w:pPr>
        <w:rPr>
          <w:vertAlign w:val="baseline"/>
        </w:rPr>
      </w:pPr>
      <w:proofErr w:type="gramStart"/>
      <w:r w:rsidRPr="00160D38">
        <w:rPr>
          <w:highlight w:val="yellow"/>
          <w:vertAlign w:val="baseline"/>
        </w:rPr>
        <w:t>Új fajta</w:t>
      </w:r>
      <w:proofErr w:type="gramEnd"/>
      <w:r w:rsidRPr="00160D38">
        <w:rPr>
          <w:highlight w:val="yellow"/>
          <w:vertAlign w:val="baseline"/>
        </w:rPr>
        <w:t xml:space="preserve"> a fajtasorban!</w:t>
      </w:r>
    </w:p>
    <w:p w:rsidR="00AC6B2D" w:rsidRDefault="00AC6B2D" w:rsidP="003E1219">
      <w:pPr>
        <w:rPr>
          <w:sz w:val="24"/>
          <w:szCs w:val="24"/>
          <w:u w:val="single"/>
          <w:vertAlign w:val="baseline"/>
        </w:rPr>
      </w:pPr>
    </w:p>
    <w:p w:rsidR="00DC1D7F" w:rsidRDefault="00DC1D7F" w:rsidP="003E1219">
      <w:pPr>
        <w:rPr>
          <w:sz w:val="24"/>
          <w:szCs w:val="24"/>
          <w:u w:val="single"/>
          <w:vertAlign w:val="baseline"/>
        </w:rPr>
      </w:pPr>
    </w:p>
    <w:p w:rsidR="00DC1D7F" w:rsidRDefault="00DC1D7F" w:rsidP="003E1219">
      <w:pPr>
        <w:rPr>
          <w:sz w:val="24"/>
          <w:szCs w:val="24"/>
          <w:u w:val="single"/>
          <w:vertAlign w:val="baseline"/>
        </w:rPr>
      </w:pPr>
    </w:p>
    <w:p w:rsidR="003E1219" w:rsidRPr="0045773F" w:rsidRDefault="003E1219" w:rsidP="003E1219">
      <w:pPr>
        <w:rPr>
          <w:sz w:val="24"/>
          <w:szCs w:val="24"/>
          <w:u w:val="single"/>
          <w:vertAlign w:val="baseline"/>
        </w:rPr>
      </w:pPr>
      <w:r w:rsidRPr="0045773F">
        <w:rPr>
          <w:sz w:val="24"/>
          <w:szCs w:val="24"/>
          <w:u w:val="single"/>
          <w:vertAlign w:val="baseline"/>
        </w:rPr>
        <w:t>Kajszi fajtaleírások, 20</w:t>
      </w:r>
      <w:r w:rsidR="00AC6B2D">
        <w:rPr>
          <w:sz w:val="24"/>
          <w:szCs w:val="24"/>
          <w:u w:val="single"/>
          <w:vertAlign w:val="baseline"/>
        </w:rPr>
        <w:t>2</w:t>
      </w:r>
      <w:r w:rsidR="00DC1D7F">
        <w:rPr>
          <w:sz w:val="24"/>
          <w:szCs w:val="24"/>
          <w:u w:val="single"/>
          <w:vertAlign w:val="baseline"/>
        </w:rPr>
        <w:t>3</w:t>
      </w:r>
      <w:r w:rsidRPr="0045773F">
        <w:rPr>
          <w:sz w:val="24"/>
          <w:szCs w:val="24"/>
          <w:u w:val="single"/>
          <w:vertAlign w:val="baseline"/>
        </w:rPr>
        <w:t>. ősz</w:t>
      </w:r>
    </w:p>
    <w:p w:rsidR="003E1219" w:rsidRDefault="003E1219" w:rsidP="003E1219">
      <w:pPr>
        <w:rPr>
          <w:sz w:val="24"/>
          <w:szCs w:val="24"/>
          <w:vertAlign w:val="baseline"/>
        </w:rPr>
      </w:pPr>
    </w:p>
    <w:p w:rsidR="003E1219" w:rsidRPr="00746B4D" w:rsidRDefault="003E1219" w:rsidP="003E1219">
      <w:pPr>
        <w:rPr>
          <w:sz w:val="22"/>
          <w:szCs w:val="22"/>
          <w:vertAlign w:val="baseline"/>
        </w:rPr>
      </w:pPr>
      <w:proofErr w:type="spellStart"/>
      <w:r w:rsidRPr="00746B4D">
        <w:rPr>
          <w:sz w:val="22"/>
          <w:szCs w:val="22"/>
          <w:vertAlign w:val="baseline"/>
        </w:rPr>
        <w:t>Tsunami</w:t>
      </w:r>
      <w:r w:rsidRPr="00746B4D">
        <w:rPr>
          <w:sz w:val="22"/>
          <w:szCs w:val="22"/>
        </w:rPr>
        <w:t>R</w:t>
      </w:r>
      <w:proofErr w:type="spellEnd"/>
      <w:r w:rsidRPr="00746B4D">
        <w:rPr>
          <w:sz w:val="22"/>
          <w:szCs w:val="22"/>
          <w:vertAlign w:val="baseline"/>
        </w:rPr>
        <w:t xml:space="preserve"> EA5016</w:t>
      </w:r>
    </w:p>
    <w:p w:rsidR="003E1219" w:rsidRPr="00746B4D" w:rsidRDefault="003E1219" w:rsidP="003E1219">
      <w:pPr>
        <w:rPr>
          <w:b w:val="0"/>
          <w:vertAlign w:val="baseline"/>
        </w:rPr>
      </w:pPr>
      <w:r w:rsidRPr="00746B4D">
        <w:rPr>
          <w:b w:val="0"/>
          <w:vertAlign w:val="baseline"/>
        </w:rPr>
        <w:t xml:space="preserve">Az </w:t>
      </w:r>
      <w:proofErr w:type="spellStart"/>
      <w:r w:rsidRPr="00746B4D">
        <w:rPr>
          <w:b w:val="0"/>
          <w:vertAlign w:val="baseline"/>
        </w:rPr>
        <w:t>Escande</w:t>
      </w:r>
      <w:proofErr w:type="spellEnd"/>
      <w:r w:rsidRPr="00746B4D">
        <w:rPr>
          <w:b w:val="0"/>
          <w:vertAlign w:val="baseline"/>
        </w:rPr>
        <w:t xml:space="preserve"> francia faiskola nemesítő</w:t>
      </w:r>
      <w:r w:rsidR="00B316AB" w:rsidRPr="00746B4D">
        <w:rPr>
          <w:b w:val="0"/>
          <w:vertAlign w:val="baseline"/>
        </w:rPr>
        <w:t xml:space="preserve"> </w:t>
      </w:r>
      <w:r w:rsidRPr="00746B4D">
        <w:rPr>
          <w:b w:val="0"/>
          <w:vertAlign w:val="baseline"/>
        </w:rPr>
        <w:t xml:space="preserve">műhelyéből került ki ez az extra korai fajta. Bejelentve a </w:t>
      </w:r>
      <w:proofErr w:type="spellStart"/>
      <w:proofErr w:type="gramStart"/>
      <w:r w:rsidRPr="00746B4D">
        <w:rPr>
          <w:b w:val="0"/>
          <w:vertAlign w:val="baseline"/>
        </w:rPr>
        <w:t>CPVO-nál</w:t>
      </w:r>
      <w:proofErr w:type="spellEnd"/>
      <w:r w:rsidR="00B316AB" w:rsidRPr="00746B4D">
        <w:rPr>
          <w:b w:val="0"/>
          <w:vertAlign w:val="baseline"/>
        </w:rPr>
        <w:t xml:space="preserve"> </w:t>
      </w:r>
      <w:r w:rsidRPr="00746B4D">
        <w:rPr>
          <w:b w:val="0"/>
          <w:vertAlign w:val="baseline"/>
        </w:rPr>
        <w:t xml:space="preserve"> 2008</w:t>
      </w:r>
      <w:proofErr w:type="gramEnd"/>
      <w:r w:rsidRPr="00746B4D">
        <w:rPr>
          <w:b w:val="0"/>
          <w:vertAlign w:val="baseline"/>
        </w:rPr>
        <w:t>/2803 számon van. Jelenleg</w:t>
      </w:r>
      <w:r w:rsidR="00D41D2C" w:rsidRPr="00746B4D">
        <w:rPr>
          <w:b w:val="0"/>
          <w:vertAlign w:val="baseline"/>
        </w:rPr>
        <w:t xml:space="preserve"> a legkorábban érő kajszibarack</w:t>
      </w:r>
      <w:r w:rsidRPr="00746B4D">
        <w:rPr>
          <w:b w:val="0"/>
          <w:vertAlign w:val="baseline"/>
        </w:rPr>
        <w:t xml:space="preserve">fajta, képes az Aurora előtt érni és a </w:t>
      </w:r>
      <w:proofErr w:type="spellStart"/>
      <w:r w:rsidRPr="00746B4D">
        <w:rPr>
          <w:b w:val="0"/>
          <w:vertAlign w:val="baseline"/>
        </w:rPr>
        <w:t>Springblush</w:t>
      </w:r>
      <w:r w:rsidR="00D41D2C" w:rsidRPr="00746B4D">
        <w:rPr>
          <w:b w:val="0"/>
        </w:rPr>
        <w:t>R</w:t>
      </w:r>
      <w:r w:rsidR="0045773F" w:rsidRPr="00746B4D">
        <w:rPr>
          <w:b w:val="0"/>
          <w:vertAlign w:val="baseline"/>
        </w:rPr>
        <w:t>-</w:t>
      </w:r>
      <w:r w:rsidRPr="00746B4D">
        <w:rPr>
          <w:b w:val="0"/>
          <w:vertAlign w:val="baseline"/>
        </w:rPr>
        <w:t>t</w:t>
      </w:r>
      <w:proofErr w:type="spellEnd"/>
      <w:r w:rsidRPr="00746B4D">
        <w:rPr>
          <w:b w:val="0"/>
          <w:vertAlign w:val="baseline"/>
        </w:rPr>
        <w:t xml:space="preserve"> is 3-5 nappal előzi érésben. Érése az olaszországi </w:t>
      </w:r>
      <w:proofErr w:type="spellStart"/>
      <w:r w:rsidRPr="00746B4D">
        <w:rPr>
          <w:b w:val="0"/>
          <w:vertAlign w:val="baseline"/>
        </w:rPr>
        <w:t>Emilia</w:t>
      </w:r>
      <w:proofErr w:type="spellEnd"/>
      <w:r w:rsidRPr="00746B4D">
        <w:rPr>
          <w:b w:val="0"/>
          <w:vertAlign w:val="baseline"/>
        </w:rPr>
        <w:t xml:space="preserve"> </w:t>
      </w:r>
      <w:proofErr w:type="spellStart"/>
      <w:r w:rsidRPr="00746B4D">
        <w:rPr>
          <w:b w:val="0"/>
          <w:vertAlign w:val="baseline"/>
        </w:rPr>
        <w:t>Romagna</w:t>
      </w:r>
      <w:proofErr w:type="spellEnd"/>
      <w:r w:rsidRPr="00746B4D">
        <w:rPr>
          <w:b w:val="0"/>
          <w:vertAlign w:val="baseline"/>
        </w:rPr>
        <w:t xml:space="preserve"> tartományban május 23-ra esik! Virágzása a </w:t>
      </w:r>
      <w:proofErr w:type="spellStart"/>
      <w:r w:rsidRPr="00746B4D">
        <w:rPr>
          <w:b w:val="0"/>
          <w:vertAlign w:val="baseline"/>
        </w:rPr>
        <w:t>Springblush</w:t>
      </w:r>
      <w:r w:rsidR="00D41D2C" w:rsidRPr="00746B4D">
        <w:rPr>
          <w:b w:val="0"/>
        </w:rPr>
        <w:t>R</w:t>
      </w:r>
      <w:r w:rsidR="00227C92" w:rsidRPr="00746B4D">
        <w:rPr>
          <w:b w:val="0"/>
          <w:vertAlign w:val="baseline"/>
        </w:rPr>
        <w:t>-</w:t>
      </w:r>
      <w:r w:rsidRPr="00746B4D">
        <w:rPr>
          <w:b w:val="0"/>
          <w:vertAlign w:val="baseline"/>
        </w:rPr>
        <w:t>al</w:t>
      </w:r>
      <w:proofErr w:type="spellEnd"/>
      <w:r w:rsidRPr="00746B4D">
        <w:rPr>
          <w:b w:val="0"/>
          <w:vertAlign w:val="baseline"/>
        </w:rPr>
        <w:t xml:space="preserve"> együtt, az </w:t>
      </w:r>
      <w:proofErr w:type="spellStart"/>
      <w:r w:rsidRPr="00746B4D">
        <w:rPr>
          <w:b w:val="0"/>
          <w:vertAlign w:val="baseline"/>
        </w:rPr>
        <w:t>Orangeredet</w:t>
      </w:r>
      <w:proofErr w:type="spellEnd"/>
      <w:r w:rsidRPr="00746B4D">
        <w:rPr>
          <w:b w:val="0"/>
          <w:vertAlign w:val="baseline"/>
        </w:rPr>
        <w:t xml:space="preserve"> követően pár nappal történik. Ausztriában a 2012-es fagyoktól sú</w:t>
      </w:r>
      <w:r w:rsidR="00D41D2C" w:rsidRPr="00746B4D">
        <w:rPr>
          <w:b w:val="0"/>
          <w:vertAlign w:val="baseline"/>
        </w:rPr>
        <w:t>j</w:t>
      </w:r>
      <w:r w:rsidRPr="00746B4D">
        <w:rPr>
          <w:b w:val="0"/>
          <w:vertAlign w:val="baseline"/>
        </w:rPr>
        <w:t xml:space="preserve">tott évben termésátlaga az </w:t>
      </w:r>
      <w:proofErr w:type="spellStart"/>
      <w:r w:rsidRPr="00746B4D">
        <w:rPr>
          <w:b w:val="0"/>
          <w:vertAlign w:val="baseline"/>
        </w:rPr>
        <w:t>Orangered</w:t>
      </w:r>
      <w:proofErr w:type="spellEnd"/>
      <w:r w:rsidRPr="00746B4D">
        <w:rPr>
          <w:b w:val="0"/>
          <w:vertAlign w:val="baseline"/>
        </w:rPr>
        <w:t xml:space="preserve"> kétszerese volt. Átlag súlya: 70-90 g. Könnyen szedhető fajta. Élénk narancssár</w:t>
      </w:r>
      <w:r w:rsidR="00D41D2C" w:rsidRPr="00746B4D">
        <w:rPr>
          <w:b w:val="0"/>
          <w:vertAlign w:val="baseline"/>
        </w:rPr>
        <w:t>ga alapszínét 60-70 %-ban élénk</w:t>
      </w:r>
      <w:r w:rsidRPr="00746B4D">
        <w:rPr>
          <w:b w:val="0"/>
          <w:vertAlign w:val="baseline"/>
        </w:rPr>
        <w:t xml:space="preserve">piros fedőszín borítja. Húsa narancssárga, különösen édes, finoman fűszeres, kiegyensúlyozott ízű. Ebben az érési időben egyedülállóan szállítható és pulton tartható. Fája közepesen erős, nagyon termékeny. Pollenadói: </w:t>
      </w:r>
      <w:proofErr w:type="spellStart"/>
      <w:r w:rsidRPr="00746B4D">
        <w:rPr>
          <w:b w:val="0"/>
          <w:vertAlign w:val="baseline"/>
        </w:rPr>
        <w:t>Goldrich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Pinkcot</w:t>
      </w:r>
      <w:r w:rsidR="00D41D2C" w:rsidRPr="00746B4D">
        <w:rPr>
          <w:b w:val="0"/>
        </w:rPr>
        <w:t>R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Sylred</w:t>
      </w:r>
      <w:r w:rsidR="00D41D2C" w:rsidRPr="00746B4D">
        <w:rPr>
          <w:b w:val="0"/>
        </w:rPr>
        <w:t>R</w:t>
      </w:r>
      <w:proofErr w:type="spellEnd"/>
      <w:r w:rsidRPr="00746B4D">
        <w:rPr>
          <w:b w:val="0"/>
          <w:vertAlign w:val="baseline"/>
        </w:rPr>
        <w:t xml:space="preserve">, Big </w:t>
      </w:r>
      <w:proofErr w:type="spellStart"/>
      <w:r w:rsidRPr="00746B4D">
        <w:rPr>
          <w:b w:val="0"/>
          <w:vertAlign w:val="baseline"/>
        </w:rPr>
        <w:t>Red</w:t>
      </w:r>
      <w:r w:rsidR="00D41D2C" w:rsidRPr="00746B4D">
        <w:rPr>
          <w:b w:val="0"/>
        </w:rPr>
        <w:t>R</w:t>
      </w:r>
      <w:proofErr w:type="spellEnd"/>
      <w:proofErr w:type="gramStart"/>
      <w:r w:rsidR="00E951DA">
        <w:rPr>
          <w:b w:val="0"/>
          <w:vertAlign w:val="baseline"/>
        </w:rPr>
        <w:t>.</w:t>
      </w:r>
      <w:r w:rsidRPr="00746B4D">
        <w:rPr>
          <w:b w:val="0"/>
          <w:vertAlign w:val="baseline"/>
        </w:rPr>
        <w:t>.</w:t>
      </w:r>
      <w:proofErr w:type="gramEnd"/>
    </w:p>
    <w:p w:rsidR="00D41D2C" w:rsidRDefault="00D41D2C" w:rsidP="003E1219">
      <w:pPr>
        <w:rPr>
          <w:b w:val="0"/>
          <w:sz w:val="22"/>
          <w:szCs w:val="22"/>
          <w:vertAlign w:val="baseline"/>
        </w:rPr>
      </w:pPr>
    </w:p>
    <w:p w:rsidR="00D41D2C" w:rsidRDefault="00D41D2C" w:rsidP="003E1219">
      <w:pPr>
        <w:rPr>
          <w:b w:val="0"/>
          <w:sz w:val="22"/>
          <w:szCs w:val="22"/>
          <w:vertAlign w:val="baseline"/>
        </w:rPr>
      </w:pPr>
      <w:proofErr w:type="spellStart"/>
      <w:r>
        <w:rPr>
          <w:sz w:val="22"/>
          <w:szCs w:val="22"/>
          <w:vertAlign w:val="baseline"/>
        </w:rPr>
        <w:t>Sam</w:t>
      </w:r>
      <w:r w:rsidR="00070385">
        <w:rPr>
          <w:sz w:val="22"/>
          <w:szCs w:val="22"/>
          <w:vertAlign w:val="baseline"/>
        </w:rPr>
        <w:t>o</w:t>
      </w:r>
      <w:r>
        <w:rPr>
          <w:sz w:val="22"/>
          <w:szCs w:val="22"/>
          <w:vertAlign w:val="baseline"/>
        </w:rPr>
        <w:t>urai</w:t>
      </w:r>
      <w:r>
        <w:rPr>
          <w:sz w:val="22"/>
          <w:szCs w:val="22"/>
        </w:rPr>
        <w:t>R</w:t>
      </w:r>
      <w:proofErr w:type="spellEnd"/>
      <w:r w:rsidR="00070385">
        <w:rPr>
          <w:b w:val="0"/>
          <w:sz w:val="22"/>
          <w:szCs w:val="22"/>
          <w:vertAlign w:val="baseline"/>
        </w:rPr>
        <w:t xml:space="preserve"> </w:t>
      </w:r>
      <w:r w:rsidR="00070385" w:rsidRPr="00070385">
        <w:rPr>
          <w:b w:val="0"/>
          <w:vertAlign w:val="baseline"/>
        </w:rPr>
        <w:t>védett fajta.</w:t>
      </w:r>
    </w:p>
    <w:p w:rsidR="003E1219" w:rsidRDefault="00070385" w:rsidP="003E1219">
      <w:pPr>
        <w:rPr>
          <w:b w:val="0"/>
          <w:vertAlign w:val="baseline"/>
        </w:rPr>
      </w:pPr>
      <w:r w:rsidRPr="00070385">
        <w:rPr>
          <w:b w:val="0"/>
          <w:vertAlign w:val="baseline"/>
        </w:rPr>
        <w:t xml:space="preserve">A </w:t>
      </w:r>
      <w:proofErr w:type="spellStart"/>
      <w:r w:rsidRPr="00070385">
        <w:rPr>
          <w:b w:val="0"/>
          <w:vertAlign w:val="baseline"/>
        </w:rPr>
        <w:t>Tsunami</w:t>
      </w:r>
      <w:r w:rsidRPr="00070385">
        <w:rPr>
          <w:b w:val="0"/>
        </w:rPr>
        <w:t>R</w:t>
      </w:r>
      <w:proofErr w:type="spellEnd"/>
      <w:r w:rsidRPr="00070385">
        <w:rPr>
          <w:b w:val="0"/>
        </w:rPr>
        <w:t xml:space="preserve"> </w:t>
      </w:r>
      <w:r w:rsidRPr="00070385">
        <w:rPr>
          <w:b w:val="0"/>
          <w:vertAlign w:val="baseline"/>
        </w:rPr>
        <w:t xml:space="preserve">és a Big </w:t>
      </w:r>
      <w:proofErr w:type="spellStart"/>
      <w:r w:rsidRPr="00070385">
        <w:rPr>
          <w:b w:val="0"/>
          <w:vertAlign w:val="baseline"/>
        </w:rPr>
        <w:t>Red</w:t>
      </w:r>
      <w:r w:rsidRPr="00070385">
        <w:rPr>
          <w:b w:val="0"/>
        </w:rPr>
        <w:t>R</w:t>
      </w:r>
      <w:proofErr w:type="spellEnd"/>
      <w:r>
        <w:rPr>
          <w:b w:val="0"/>
          <w:vertAlign w:val="baseline"/>
        </w:rPr>
        <w:t xml:space="preserve"> között a </w:t>
      </w:r>
      <w:proofErr w:type="spellStart"/>
      <w:r>
        <w:rPr>
          <w:b w:val="0"/>
          <w:vertAlign w:val="baseline"/>
        </w:rPr>
        <w:t>Bhart</w:t>
      </w:r>
      <w:r>
        <w:rPr>
          <w:b w:val="0"/>
        </w:rPr>
        <w:t>R</w:t>
      </w:r>
      <w:proofErr w:type="spellEnd"/>
      <w:r>
        <w:rPr>
          <w:b w:val="0"/>
          <w:vertAlign w:val="baseline"/>
        </w:rPr>
        <w:t xml:space="preserve"> (</w:t>
      </w:r>
      <w:proofErr w:type="spellStart"/>
      <w:r>
        <w:rPr>
          <w:b w:val="0"/>
          <w:vertAlign w:val="baseline"/>
        </w:rPr>
        <w:t>Orangered</w:t>
      </w:r>
      <w:proofErr w:type="spellEnd"/>
      <w:r w:rsidR="00EE2713">
        <w:rPr>
          <w:b w:val="0"/>
          <w:vertAlign w:val="baseline"/>
        </w:rPr>
        <w:t>)</w:t>
      </w:r>
      <w:r>
        <w:rPr>
          <w:b w:val="0"/>
          <w:vertAlign w:val="baseline"/>
        </w:rPr>
        <w:t xml:space="preserve"> érési idejében érik. Korai fajta. Íze édes és aromás. Narancssárga alapszínén, szép piros mosottság tűnik fel. Kiegyenlített méretű, általában AAA. Héja elég vastag, nem érzékeny a nyomódásra. PPV (szilvahimlő vírus) rezisztens. Elég korán virágzik, a Tom </w:t>
      </w:r>
      <w:proofErr w:type="spellStart"/>
      <w:r>
        <w:rPr>
          <w:b w:val="0"/>
          <w:vertAlign w:val="baseline"/>
        </w:rPr>
        <w:t>Cot</w:t>
      </w:r>
      <w:r>
        <w:rPr>
          <w:b w:val="0"/>
        </w:rPr>
        <w:t>S</w:t>
      </w:r>
      <w:proofErr w:type="spellEnd"/>
      <w:r>
        <w:rPr>
          <w:b w:val="0"/>
        </w:rPr>
        <w:t xml:space="preserve"> </w:t>
      </w:r>
      <w:r>
        <w:rPr>
          <w:b w:val="0"/>
          <w:vertAlign w:val="baseline"/>
        </w:rPr>
        <w:t xml:space="preserve">és a Big </w:t>
      </w:r>
      <w:proofErr w:type="spellStart"/>
      <w:r>
        <w:rPr>
          <w:b w:val="0"/>
          <w:vertAlign w:val="baseline"/>
        </w:rPr>
        <w:t>Red</w:t>
      </w:r>
      <w:r>
        <w:rPr>
          <w:b w:val="0"/>
        </w:rPr>
        <w:t>R</w:t>
      </w:r>
      <w:proofErr w:type="spellEnd"/>
      <w:r>
        <w:rPr>
          <w:b w:val="0"/>
          <w:vertAlign w:val="baseline"/>
        </w:rPr>
        <w:t xml:space="preserve"> fajtákkal együtt. Nem </w:t>
      </w:r>
      <w:proofErr w:type="spellStart"/>
      <w:r>
        <w:rPr>
          <w:b w:val="0"/>
          <w:vertAlign w:val="baseline"/>
        </w:rPr>
        <w:t>öntermékeny</w:t>
      </w:r>
      <w:proofErr w:type="spellEnd"/>
      <w:r>
        <w:rPr>
          <w:b w:val="0"/>
          <w:vertAlign w:val="baseline"/>
        </w:rPr>
        <w:t xml:space="preserve">, porzójának a Big </w:t>
      </w:r>
      <w:proofErr w:type="spellStart"/>
      <w:r>
        <w:rPr>
          <w:b w:val="0"/>
          <w:vertAlign w:val="baseline"/>
        </w:rPr>
        <w:t>Red</w:t>
      </w:r>
      <w:r w:rsidR="00E951DA">
        <w:rPr>
          <w:b w:val="0"/>
        </w:rPr>
        <w:t>R</w:t>
      </w:r>
      <w:proofErr w:type="spellEnd"/>
      <w:r>
        <w:rPr>
          <w:b w:val="0"/>
          <w:vertAlign w:val="baseline"/>
        </w:rPr>
        <w:t xml:space="preserve"> és a </w:t>
      </w:r>
      <w:proofErr w:type="spellStart"/>
      <w:r>
        <w:rPr>
          <w:b w:val="0"/>
          <w:vertAlign w:val="baseline"/>
        </w:rPr>
        <w:t>Flopria</w:t>
      </w:r>
      <w:r w:rsidR="00E951DA">
        <w:rPr>
          <w:b w:val="0"/>
        </w:rPr>
        <w:t>R</w:t>
      </w:r>
      <w:proofErr w:type="spellEnd"/>
      <w:r>
        <w:rPr>
          <w:b w:val="0"/>
          <w:vertAlign w:val="baseline"/>
        </w:rPr>
        <w:t xml:space="preserve"> ajánlott.</w:t>
      </w:r>
    </w:p>
    <w:p w:rsidR="00DC1D7F" w:rsidRDefault="00DC1D7F" w:rsidP="003E1219">
      <w:pPr>
        <w:rPr>
          <w:b w:val="0"/>
          <w:vertAlign w:val="baseline"/>
        </w:rPr>
      </w:pPr>
    </w:p>
    <w:p w:rsidR="00DC1D7F" w:rsidRDefault="00DC1D7F" w:rsidP="003E1219">
      <w:pPr>
        <w:rPr>
          <w:b w:val="0"/>
          <w:vertAlign w:val="baseline"/>
        </w:rPr>
      </w:pPr>
    </w:p>
    <w:p w:rsidR="00AC6B2D" w:rsidRDefault="00AC6B2D" w:rsidP="003E1219">
      <w:pPr>
        <w:rPr>
          <w:b w:val="0"/>
          <w:sz w:val="22"/>
          <w:szCs w:val="22"/>
          <w:vertAlign w:val="baseline"/>
        </w:rPr>
      </w:pPr>
    </w:p>
    <w:p w:rsidR="00022E6A" w:rsidRDefault="00022E6A" w:rsidP="00022E6A">
      <w:pPr>
        <w:jc w:val="center"/>
        <w:rPr>
          <w:b w:val="0"/>
          <w:sz w:val="22"/>
          <w:szCs w:val="22"/>
          <w:vertAlign w:val="baseline"/>
        </w:rPr>
      </w:pPr>
      <w:r>
        <w:rPr>
          <w:b w:val="0"/>
          <w:noProof/>
          <w:sz w:val="22"/>
          <w:szCs w:val="22"/>
          <w:vertAlign w:val="baseline"/>
        </w:rPr>
        <w:drawing>
          <wp:inline distT="0" distB="0" distL="0" distR="0" wp14:anchorId="445350A9" wp14:editId="4B4A4D0B">
            <wp:extent cx="3361193" cy="2520000"/>
            <wp:effectExtent l="0" t="0" r="0" b="0"/>
            <wp:docPr id="7" name="Kép 7" descr="F:\Pictures\Pictures\2013-06-16\Springblush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Pictures\2013-06-16\Springblush 2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9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DA" w:rsidRDefault="00E951DA" w:rsidP="00022E6A">
      <w:pPr>
        <w:jc w:val="center"/>
        <w:rPr>
          <w:sz w:val="22"/>
          <w:szCs w:val="22"/>
          <w:vertAlign w:val="baseline"/>
        </w:rPr>
      </w:pPr>
    </w:p>
    <w:p w:rsidR="00022E6A" w:rsidRPr="00E951DA" w:rsidRDefault="00022E6A" w:rsidP="00022E6A">
      <w:pPr>
        <w:jc w:val="center"/>
      </w:pPr>
      <w:r w:rsidRPr="00E951DA">
        <w:rPr>
          <w:vertAlign w:val="baseline"/>
        </w:rPr>
        <w:t xml:space="preserve">Spring </w:t>
      </w:r>
      <w:proofErr w:type="spellStart"/>
      <w:r w:rsidRPr="00E951DA">
        <w:rPr>
          <w:vertAlign w:val="baseline"/>
        </w:rPr>
        <w:t>Blush</w:t>
      </w:r>
      <w:r w:rsidRPr="00E951DA">
        <w:t>R</w:t>
      </w:r>
      <w:proofErr w:type="spellEnd"/>
    </w:p>
    <w:p w:rsidR="0045773F" w:rsidRDefault="00022E6A" w:rsidP="00E951DA">
      <w:pPr>
        <w:jc w:val="center"/>
        <w:rPr>
          <w:rFonts w:cs="Times New Roman"/>
          <w:sz w:val="24"/>
          <w:szCs w:val="24"/>
          <w:vertAlign w:val="baseline"/>
        </w:rPr>
      </w:pPr>
      <w:r w:rsidRPr="00E951DA">
        <w:rPr>
          <w:b w:val="0"/>
          <w:vertAlign w:val="baseline"/>
        </w:rPr>
        <w:t xml:space="preserve">(Fotó: </w:t>
      </w:r>
      <w:proofErr w:type="spellStart"/>
      <w:r w:rsidRPr="00E951DA">
        <w:rPr>
          <w:b w:val="0"/>
          <w:vertAlign w:val="baseline"/>
        </w:rPr>
        <w:t>Palesits</w:t>
      </w:r>
      <w:proofErr w:type="spellEnd"/>
      <w:r w:rsidRPr="00E951DA">
        <w:rPr>
          <w:b w:val="0"/>
          <w:vertAlign w:val="baseline"/>
        </w:rPr>
        <w:t xml:space="preserve"> Zsolt)</w:t>
      </w:r>
    </w:p>
    <w:p w:rsidR="003E1219" w:rsidRPr="00746B4D" w:rsidRDefault="003E1219" w:rsidP="003E1219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vertAlign w:val="baseline"/>
        </w:rPr>
      </w:pPr>
      <w:r w:rsidRPr="00746B4D">
        <w:rPr>
          <w:rFonts w:cs="Times New Roman"/>
          <w:sz w:val="22"/>
          <w:szCs w:val="22"/>
          <w:vertAlign w:val="baseline"/>
        </w:rPr>
        <w:t xml:space="preserve">Spring </w:t>
      </w:r>
      <w:proofErr w:type="spellStart"/>
      <w:r w:rsidRPr="00746B4D">
        <w:rPr>
          <w:rFonts w:cs="Times New Roman"/>
          <w:sz w:val="22"/>
          <w:szCs w:val="22"/>
          <w:vertAlign w:val="baseline"/>
        </w:rPr>
        <w:t>Blush</w:t>
      </w:r>
      <w:proofErr w:type="spellEnd"/>
      <w:r w:rsidRPr="00746B4D">
        <w:rPr>
          <w:sz w:val="22"/>
          <w:szCs w:val="22"/>
        </w:rPr>
        <w:t>®</w:t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  <w:r w:rsidRPr="00746B4D">
        <w:rPr>
          <w:sz w:val="22"/>
          <w:szCs w:val="22"/>
          <w:vertAlign w:val="baseline"/>
        </w:rPr>
        <w:tab/>
      </w:r>
    </w:p>
    <w:p w:rsidR="003E1219" w:rsidRPr="00746B4D" w:rsidRDefault="003E1219" w:rsidP="003E1219">
      <w:pPr>
        <w:overflowPunct w:val="0"/>
        <w:autoSpaceDE w:val="0"/>
        <w:autoSpaceDN w:val="0"/>
        <w:adjustRightInd w:val="0"/>
        <w:textAlignment w:val="baseline"/>
        <w:rPr>
          <w:b w:val="0"/>
          <w:vertAlign w:val="baseline"/>
        </w:rPr>
      </w:pPr>
      <w:r w:rsidRPr="00746B4D">
        <w:rPr>
          <w:b w:val="0"/>
          <w:vertAlign w:val="baseline"/>
        </w:rPr>
        <w:t xml:space="preserve">Nemesítője B. </w:t>
      </w:r>
      <w:proofErr w:type="spellStart"/>
      <w:r w:rsidRPr="00746B4D">
        <w:rPr>
          <w:b w:val="0"/>
          <w:vertAlign w:val="baseline"/>
        </w:rPr>
        <w:t>Escande</w:t>
      </w:r>
      <w:proofErr w:type="spellEnd"/>
      <w:r w:rsidRPr="00746B4D">
        <w:rPr>
          <w:b w:val="0"/>
          <w:vertAlign w:val="baseline"/>
        </w:rPr>
        <w:t xml:space="preserve"> (F). Nagyon korai érésű fajta, érése az Aurorához közeli (0/+2 nap). Gyümölcse kemény húsú, kiválóan utóérő. Annak ellenére, hogy korai érésű, gyümölcsei fantasztikusan tárolhatók, akár 10 napot is kibír hűtőben! Héjának alapszíne narancssárga, élénkvörös fedőszín borítja, felületének akár 60-70%-át is! Gyümölcsének átlagos súlya 60-80 g. Fája erőteljes növekedésű.</w:t>
      </w:r>
    </w:p>
    <w:p w:rsidR="003E1219" w:rsidRPr="00746B4D" w:rsidRDefault="003E1219" w:rsidP="003E1219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b w:val="0"/>
          <w:vertAlign w:val="baseline"/>
        </w:rPr>
      </w:pPr>
      <w:r w:rsidRPr="00746B4D">
        <w:rPr>
          <w:b w:val="0"/>
          <w:vertAlign w:val="baseline"/>
        </w:rPr>
        <w:t>Értéke a koraisága mellett a nagy termőképessége, és gyümölcsének kiváló minősége. Néha a termesztőket megtéveszti korai és nagy fedőszín</w:t>
      </w:r>
      <w:r w:rsidR="00B316AB" w:rsidRPr="00746B4D">
        <w:rPr>
          <w:b w:val="0"/>
          <w:vertAlign w:val="baseline"/>
        </w:rPr>
        <w:t xml:space="preserve">- </w:t>
      </w:r>
      <w:r w:rsidRPr="00746B4D">
        <w:rPr>
          <w:b w:val="0"/>
          <w:vertAlign w:val="baseline"/>
        </w:rPr>
        <w:t xml:space="preserve">borítottsága és emiatt idő előtt elkezdik a szedését, így minősége elmarad a várttól és ez rontja a fajta hírnevét. Idegen termékenyülő. Pollenadói: </w:t>
      </w:r>
      <w:proofErr w:type="spellStart"/>
      <w:r w:rsidRPr="00746B4D">
        <w:rPr>
          <w:b w:val="0"/>
          <w:vertAlign w:val="baseline"/>
        </w:rPr>
        <w:t>Sylred</w:t>
      </w:r>
      <w:r w:rsidR="00D41D2C" w:rsidRPr="00746B4D">
        <w:rPr>
          <w:b w:val="0"/>
        </w:rPr>
        <w:t>R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Pinkcot</w:t>
      </w:r>
      <w:r w:rsidR="00D41D2C" w:rsidRPr="00746B4D">
        <w:rPr>
          <w:b w:val="0"/>
        </w:rPr>
        <w:t>R</w:t>
      </w:r>
      <w:proofErr w:type="spellEnd"/>
      <w:r w:rsidRPr="00746B4D">
        <w:rPr>
          <w:b w:val="0"/>
          <w:vertAlign w:val="baseline"/>
        </w:rPr>
        <w:t xml:space="preserve">, Big </w:t>
      </w:r>
      <w:proofErr w:type="spellStart"/>
      <w:r w:rsidRPr="00746B4D">
        <w:rPr>
          <w:b w:val="0"/>
          <w:vertAlign w:val="baseline"/>
        </w:rPr>
        <w:t>Red</w:t>
      </w:r>
      <w:r w:rsidR="00D41D2C" w:rsidRPr="00746B4D">
        <w:rPr>
          <w:b w:val="0"/>
        </w:rPr>
        <w:t>R</w:t>
      </w:r>
      <w:proofErr w:type="spellEnd"/>
      <w:r w:rsidRPr="00746B4D">
        <w:rPr>
          <w:b w:val="0"/>
          <w:vertAlign w:val="baseline"/>
        </w:rPr>
        <w:t>.</w:t>
      </w:r>
    </w:p>
    <w:p w:rsidR="003E1219" w:rsidRPr="003E1219" w:rsidRDefault="003E1219" w:rsidP="003E1219">
      <w:pPr>
        <w:rPr>
          <w:b w:val="0"/>
          <w:sz w:val="22"/>
          <w:szCs w:val="22"/>
          <w:vertAlign w:val="baseline"/>
        </w:rPr>
      </w:pPr>
    </w:p>
    <w:p w:rsidR="00F22BA8" w:rsidRPr="00746B4D" w:rsidRDefault="00F22BA8" w:rsidP="00F22BA8">
      <w:pPr>
        <w:rPr>
          <w:b w:val="0"/>
          <w:sz w:val="22"/>
          <w:szCs w:val="22"/>
          <w:vertAlign w:val="baseline"/>
        </w:rPr>
      </w:pPr>
      <w:proofErr w:type="spellStart"/>
      <w:r w:rsidRPr="00746B4D">
        <w:rPr>
          <w:sz w:val="22"/>
          <w:szCs w:val="22"/>
          <w:vertAlign w:val="baseline"/>
        </w:rPr>
        <w:t>Harogem</w:t>
      </w:r>
      <w:proofErr w:type="spellEnd"/>
      <w:r w:rsidRPr="00746B4D">
        <w:rPr>
          <w:sz w:val="22"/>
          <w:szCs w:val="22"/>
        </w:rPr>
        <w:t>®</w:t>
      </w:r>
    </w:p>
    <w:p w:rsidR="00F22BA8" w:rsidRPr="00746B4D" w:rsidRDefault="00F22BA8" w:rsidP="00F22BA8">
      <w:pPr>
        <w:rPr>
          <w:b w:val="0"/>
          <w:vertAlign w:val="baseline"/>
        </w:rPr>
      </w:pPr>
      <w:r w:rsidRPr="00746B4D">
        <w:rPr>
          <w:b w:val="0"/>
          <w:vertAlign w:val="baseline"/>
        </w:rPr>
        <w:t xml:space="preserve">A kanadai </w:t>
      </w:r>
      <w:proofErr w:type="spellStart"/>
      <w:r w:rsidRPr="00746B4D">
        <w:rPr>
          <w:b w:val="0"/>
          <w:vertAlign w:val="baseline"/>
        </w:rPr>
        <w:t>Harrow-i</w:t>
      </w:r>
      <w:proofErr w:type="spellEnd"/>
      <w:r w:rsidRPr="00746B4D">
        <w:rPr>
          <w:b w:val="0"/>
          <w:vertAlign w:val="baseline"/>
        </w:rPr>
        <w:t xml:space="preserve"> Kutató Intézet nemesítése. Július közepén érik, közepes gyümölcsméretű, csillogó piros fedőszínű a narancssárga alapszínen. Közepes növekedési erély, felálló ágrendszer jellemzi. Korán termőre fordul, </w:t>
      </w:r>
      <w:proofErr w:type="spellStart"/>
      <w:r w:rsidRPr="00746B4D">
        <w:rPr>
          <w:b w:val="0"/>
          <w:vertAlign w:val="baseline"/>
        </w:rPr>
        <w:t>öntermékeny</w:t>
      </w:r>
      <w:proofErr w:type="spellEnd"/>
      <w:r w:rsidRPr="00746B4D">
        <w:rPr>
          <w:b w:val="0"/>
          <w:vertAlign w:val="baseline"/>
        </w:rPr>
        <w:t xml:space="preserve">. Virágrügyeinek téli fagyállósága nagyon jó. Általában gombabetegségeknek is ellenáll. </w:t>
      </w:r>
    </w:p>
    <w:p w:rsidR="00E951DA" w:rsidRPr="00E951DA" w:rsidRDefault="00E951DA" w:rsidP="00F22BA8">
      <w:pPr>
        <w:rPr>
          <w:sz w:val="22"/>
          <w:szCs w:val="22"/>
          <w:vertAlign w:val="baseline"/>
        </w:rPr>
      </w:pPr>
    </w:p>
    <w:p w:rsidR="003E1219" w:rsidRPr="00746B4D" w:rsidRDefault="003E1219" w:rsidP="003E1219">
      <w:pPr>
        <w:rPr>
          <w:b w:val="0"/>
          <w:sz w:val="22"/>
          <w:szCs w:val="22"/>
          <w:vertAlign w:val="baseline"/>
        </w:rPr>
      </w:pPr>
      <w:proofErr w:type="spellStart"/>
      <w:proofErr w:type="gramStart"/>
      <w:r w:rsidRPr="00746B4D">
        <w:rPr>
          <w:sz w:val="22"/>
          <w:szCs w:val="22"/>
          <w:vertAlign w:val="baseline"/>
        </w:rPr>
        <w:t>Orangered</w:t>
      </w:r>
      <w:proofErr w:type="spellEnd"/>
      <w:r w:rsidRPr="00746B4D">
        <w:rPr>
          <w:sz w:val="22"/>
          <w:szCs w:val="22"/>
          <w:vertAlign w:val="baseline"/>
        </w:rPr>
        <w:t xml:space="preserve"> </w:t>
      </w:r>
      <w:r w:rsidRPr="00746B4D">
        <w:rPr>
          <w:sz w:val="22"/>
          <w:szCs w:val="22"/>
        </w:rPr>
        <w:t>®</w:t>
      </w:r>
      <w:proofErr w:type="gramEnd"/>
      <w:r w:rsidRPr="00746B4D">
        <w:rPr>
          <w:sz w:val="22"/>
          <w:szCs w:val="22"/>
          <w:vertAlign w:val="baseline"/>
        </w:rPr>
        <w:t xml:space="preserve"> </w:t>
      </w:r>
      <w:proofErr w:type="spellStart"/>
      <w:r w:rsidRPr="00746B4D">
        <w:rPr>
          <w:sz w:val="22"/>
          <w:szCs w:val="22"/>
          <w:vertAlign w:val="baseline"/>
        </w:rPr>
        <w:t>Bhart</w:t>
      </w:r>
      <w:proofErr w:type="spellEnd"/>
      <w:r w:rsidRPr="00746B4D">
        <w:rPr>
          <w:b w:val="0"/>
          <w:sz w:val="22"/>
          <w:szCs w:val="22"/>
          <w:vertAlign w:val="baseline"/>
        </w:rPr>
        <w:t xml:space="preserve"> </w:t>
      </w:r>
    </w:p>
    <w:p w:rsidR="003E1219" w:rsidRDefault="003E1219" w:rsidP="003E1219">
      <w:pPr>
        <w:rPr>
          <w:b w:val="0"/>
          <w:vertAlign w:val="baseline"/>
        </w:rPr>
      </w:pPr>
      <w:r w:rsidRPr="00746B4D">
        <w:rPr>
          <w:b w:val="0"/>
          <w:vertAlign w:val="baseline"/>
        </w:rPr>
        <w:t xml:space="preserve">Ez a hatalmas gyümölcsű kajszifajta június </w:t>
      </w:r>
      <w:proofErr w:type="gramStart"/>
      <w:r w:rsidRPr="00746B4D">
        <w:rPr>
          <w:b w:val="0"/>
          <w:vertAlign w:val="baseline"/>
        </w:rPr>
        <w:t>végén-július</w:t>
      </w:r>
      <w:proofErr w:type="gramEnd"/>
      <w:r w:rsidRPr="00746B4D">
        <w:rPr>
          <w:b w:val="0"/>
          <w:vertAlign w:val="baseline"/>
        </w:rPr>
        <w:t xml:space="preserve"> elején érik, világos narancssárga színű, fényes, sima héjú, kiváló ízű. Fája igen erős növekedésű, nem </w:t>
      </w:r>
      <w:proofErr w:type="spellStart"/>
      <w:r w:rsidRPr="00746B4D">
        <w:rPr>
          <w:b w:val="0"/>
          <w:vertAlign w:val="baseline"/>
        </w:rPr>
        <w:t>betegségérzékeny</w:t>
      </w:r>
      <w:proofErr w:type="spellEnd"/>
      <w:r w:rsidRPr="00746B4D">
        <w:rPr>
          <w:b w:val="0"/>
          <w:vertAlign w:val="baseline"/>
        </w:rPr>
        <w:t xml:space="preserve">, jó termőképességű. Érése elhúzódó, többmenetes szedés szükséges. Nem </w:t>
      </w:r>
      <w:proofErr w:type="spellStart"/>
      <w:r w:rsidRPr="00746B4D">
        <w:rPr>
          <w:b w:val="0"/>
          <w:vertAlign w:val="baseline"/>
        </w:rPr>
        <w:t>öntermékeny</w:t>
      </w:r>
      <w:proofErr w:type="spellEnd"/>
      <w:r w:rsidRPr="00746B4D">
        <w:rPr>
          <w:b w:val="0"/>
          <w:vertAlign w:val="baseline"/>
        </w:rPr>
        <w:t xml:space="preserve">, porzó fajta feltétlenül szükséges mellé: </w:t>
      </w:r>
      <w:proofErr w:type="spellStart"/>
      <w:r w:rsidRPr="00746B4D">
        <w:rPr>
          <w:b w:val="0"/>
          <w:vertAlign w:val="baseline"/>
        </w:rPr>
        <w:t>Harogem</w:t>
      </w:r>
      <w:proofErr w:type="spellEnd"/>
      <w:r w:rsidR="00227C92" w:rsidRPr="00746B4D">
        <w:rPr>
          <w:b w:val="0"/>
        </w:rPr>
        <w:t>®</w:t>
      </w:r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Harlayne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Fantasme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Bergeron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Hargrand</w:t>
      </w:r>
      <w:proofErr w:type="spellEnd"/>
      <w:r w:rsidRPr="00746B4D">
        <w:rPr>
          <w:b w:val="0"/>
          <w:vertAlign w:val="baseline"/>
        </w:rPr>
        <w:t xml:space="preserve">, </w:t>
      </w:r>
      <w:proofErr w:type="spellStart"/>
      <w:r w:rsidRPr="00746B4D">
        <w:rPr>
          <w:b w:val="0"/>
          <w:vertAlign w:val="baseline"/>
        </w:rPr>
        <w:t>Bergarouge</w:t>
      </w:r>
      <w:proofErr w:type="spellEnd"/>
      <w:r w:rsidRPr="00746B4D">
        <w:rPr>
          <w:b w:val="0"/>
        </w:rPr>
        <w:t>®</w:t>
      </w:r>
      <w:r w:rsidRPr="00746B4D">
        <w:rPr>
          <w:b w:val="0"/>
          <w:vertAlign w:val="baseline"/>
        </w:rPr>
        <w:t xml:space="preserve"> vagy </w:t>
      </w:r>
      <w:proofErr w:type="spellStart"/>
      <w:r w:rsidRPr="00746B4D">
        <w:rPr>
          <w:b w:val="0"/>
          <w:vertAlign w:val="baseline"/>
        </w:rPr>
        <w:t>Goldrich</w:t>
      </w:r>
      <w:proofErr w:type="spellEnd"/>
      <w:r w:rsidRPr="00746B4D">
        <w:rPr>
          <w:b w:val="0"/>
          <w:vertAlign w:val="baseline"/>
        </w:rPr>
        <w:t>.</w:t>
      </w:r>
    </w:p>
    <w:p w:rsidR="00E951DA" w:rsidRDefault="00E951DA" w:rsidP="003E1219">
      <w:pPr>
        <w:rPr>
          <w:b w:val="0"/>
          <w:vertAlign w:val="baseline"/>
        </w:rPr>
      </w:pPr>
    </w:p>
    <w:p w:rsidR="00E951DA" w:rsidRDefault="00E951DA" w:rsidP="003E1219">
      <w:pPr>
        <w:rPr>
          <w:b w:val="0"/>
          <w:vertAlign w:val="baseline"/>
        </w:rPr>
      </w:pPr>
    </w:p>
    <w:p w:rsidR="00E951DA" w:rsidRDefault="00E951DA" w:rsidP="003E1219">
      <w:pPr>
        <w:rPr>
          <w:b w:val="0"/>
          <w:vertAlign w:val="baseline"/>
        </w:rPr>
      </w:pPr>
    </w:p>
    <w:p w:rsidR="00E951DA" w:rsidRDefault="00E951DA" w:rsidP="003E1219">
      <w:pPr>
        <w:rPr>
          <w:b w:val="0"/>
          <w:vertAlign w:val="baseline"/>
        </w:rPr>
      </w:pPr>
    </w:p>
    <w:p w:rsidR="00E951DA" w:rsidRDefault="00E951DA" w:rsidP="003E1219">
      <w:pPr>
        <w:rPr>
          <w:b w:val="0"/>
          <w:vertAlign w:val="baseline"/>
        </w:rPr>
      </w:pPr>
    </w:p>
    <w:p w:rsidR="00E951DA" w:rsidRPr="00746B4D" w:rsidRDefault="00E951DA" w:rsidP="003E1219">
      <w:pPr>
        <w:rPr>
          <w:b w:val="0"/>
          <w:vertAlign w:val="baseline"/>
        </w:rPr>
      </w:pPr>
    </w:p>
    <w:p w:rsidR="003E1219" w:rsidRDefault="003E1219" w:rsidP="003E1219">
      <w:pPr>
        <w:rPr>
          <w:b w:val="0"/>
          <w:sz w:val="22"/>
          <w:szCs w:val="22"/>
          <w:vertAlign w:val="baseline"/>
        </w:rPr>
      </w:pPr>
    </w:p>
    <w:p w:rsidR="0045773F" w:rsidRDefault="0045773F" w:rsidP="003E1219">
      <w:pPr>
        <w:rPr>
          <w:b w:val="0"/>
          <w:sz w:val="22"/>
          <w:szCs w:val="22"/>
          <w:vertAlign w:val="baseline"/>
        </w:rPr>
      </w:pPr>
    </w:p>
    <w:p w:rsidR="0045773F" w:rsidRDefault="0045773F" w:rsidP="003E1219">
      <w:pPr>
        <w:rPr>
          <w:b w:val="0"/>
          <w:sz w:val="22"/>
          <w:szCs w:val="22"/>
          <w:vertAlign w:val="baseline"/>
        </w:rPr>
      </w:pPr>
    </w:p>
    <w:p w:rsidR="00022E6A" w:rsidRDefault="00022E6A" w:rsidP="00022E6A">
      <w:pPr>
        <w:jc w:val="center"/>
        <w:rPr>
          <w:b w:val="0"/>
          <w:sz w:val="22"/>
          <w:szCs w:val="22"/>
          <w:vertAlign w:val="baseline"/>
        </w:rPr>
      </w:pPr>
      <w:r>
        <w:rPr>
          <w:noProof/>
        </w:rPr>
        <w:lastRenderedPageBreak/>
        <w:drawing>
          <wp:inline distT="0" distB="0" distL="0" distR="0" wp14:anchorId="76CA1F0E" wp14:editId="02EF3627">
            <wp:extent cx="3360000" cy="2520000"/>
            <wp:effectExtent l="0" t="0" r="0" b="0"/>
            <wp:docPr id="3" name="Kép 3" descr="http://www.palesitsfaiskola.hu/image/fajtak/big/B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lesitsfaiskola.hu/image/fajtak/big/Bha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79" w:rsidRDefault="00044D79" w:rsidP="00022E6A">
      <w:pPr>
        <w:jc w:val="center"/>
        <w:rPr>
          <w:sz w:val="22"/>
          <w:szCs w:val="22"/>
          <w:vertAlign w:val="baseline"/>
        </w:rPr>
      </w:pPr>
    </w:p>
    <w:p w:rsidR="00022E6A" w:rsidRDefault="00022E6A" w:rsidP="00022E6A">
      <w:pPr>
        <w:jc w:val="center"/>
        <w:rPr>
          <w:sz w:val="22"/>
          <w:szCs w:val="22"/>
          <w:vertAlign w:val="baseline"/>
        </w:rPr>
      </w:pPr>
      <w:proofErr w:type="spellStart"/>
      <w:r w:rsidRPr="00022E6A">
        <w:rPr>
          <w:sz w:val="22"/>
          <w:szCs w:val="22"/>
          <w:vertAlign w:val="baseline"/>
        </w:rPr>
        <w:t>Bhart</w:t>
      </w:r>
      <w:proofErr w:type="spellEnd"/>
    </w:p>
    <w:p w:rsidR="0045773F" w:rsidRDefault="00022E6A" w:rsidP="00E951DA">
      <w:pPr>
        <w:jc w:val="center"/>
        <w:rPr>
          <w:sz w:val="24"/>
          <w:szCs w:val="24"/>
          <w:vertAlign w:val="baseline"/>
        </w:rPr>
      </w:pPr>
      <w:r>
        <w:rPr>
          <w:b w:val="0"/>
          <w:sz w:val="22"/>
          <w:szCs w:val="22"/>
          <w:vertAlign w:val="baseline"/>
        </w:rPr>
        <w:t xml:space="preserve">(Fotó: </w:t>
      </w:r>
      <w:proofErr w:type="spellStart"/>
      <w:r>
        <w:rPr>
          <w:b w:val="0"/>
          <w:sz w:val="22"/>
          <w:szCs w:val="22"/>
          <w:vertAlign w:val="baseline"/>
        </w:rPr>
        <w:t>Palesits</w:t>
      </w:r>
      <w:proofErr w:type="spellEnd"/>
      <w:r>
        <w:rPr>
          <w:b w:val="0"/>
          <w:sz w:val="22"/>
          <w:szCs w:val="22"/>
          <w:vertAlign w:val="baseline"/>
        </w:rPr>
        <w:t xml:space="preserve"> Krisztina)</w:t>
      </w:r>
    </w:p>
    <w:p w:rsidR="00044D79" w:rsidRPr="00044D79" w:rsidRDefault="00044D79" w:rsidP="00044D79">
      <w:pPr>
        <w:pStyle w:val="Nincstrkz"/>
        <w:jc w:val="center"/>
        <w:rPr>
          <w:rFonts w:ascii="Arial" w:hAnsi="Arial" w:cs="Arial"/>
          <w:lang w:eastAsia="hu-HU"/>
        </w:rPr>
      </w:pPr>
    </w:p>
    <w:p w:rsidR="003E1219" w:rsidRPr="00746B4D" w:rsidRDefault="003E1219" w:rsidP="003E1219">
      <w:pPr>
        <w:rPr>
          <w:b w:val="0"/>
          <w:sz w:val="22"/>
          <w:szCs w:val="22"/>
          <w:vertAlign w:val="baseline"/>
        </w:rPr>
      </w:pPr>
      <w:proofErr w:type="spellStart"/>
      <w:r w:rsidRPr="00746B4D">
        <w:rPr>
          <w:sz w:val="22"/>
          <w:szCs w:val="22"/>
          <w:vertAlign w:val="baseline"/>
        </w:rPr>
        <w:t>Goldrich</w:t>
      </w:r>
      <w:proofErr w:type="spellEnd"/>
      <w:r w:rsidRPr="00746B4D">
        <w:rPr>
          <w:sz w:val="22"/>
          <w:szCs w:val="22"/>
        </w:rPr>
        <w:t>®</w:t>
      </w:r>
      <w:r w:rsidRPr="00746B4D">
        <w:rPr>
          <w:sz w:val="22"/>
          <w:szCs w:val="22"/>
          <w:vertAlign w:val="baseline"/>
        </w:rPr>
        <w:t xml:space="preserve"> </w:t>
      </w:r>
      <w:proofErr w:type="spellStart"/>
      <w:r w:rsidRPr="00746B4D">
        <w:rPr>
          <w:sz w:val="22"/>
          <w:szCs w:val="22"/>
          <w:vertAlign w:val="baseline"/>
        </w:rPr>
        <w:t>Sungiant</w:t>
      </w:r>
      <w:proofErr w:type="spellEnd"/>
    </w:p>
    <w:p w:rsidR="003E1219" w:rsidRDefault="003E1219" w:rsidP="003E1219">
      <w:pPr>
        <w:rPr>
          <w:b w:val="0"/>
          <w:vertAlign w:val="baseline"/>
        </w:rPr>
      </w:pPr>
      <w:r w:rsidRPr="00746B4D">
        <w:rPr>
          <w:b w:val="0"/>
          <w:vertAlign w:val="baseline"/>
        </w:rPr>
        <w:t>Július elején-közepén érő, egyöntetűen nagy gyümölcsű és kellemes ízű fajta, a friss piaci fajták között a vezető helyet látja el. Nem betegség</w:t>
      </w:r>
      <w:r w:rsidR="00B316AB" w:rsidRPr="00746B4D">
        <w:rPr>
          <w:b w:val="0"/>
          <w:vertAlign w:val="baseline"/>
        </w:rPr>
        <w:t xml:space="preserve">- </w:t>
      </w:r>
      <w:r w:rsidRPr="00746B4D">
        <w:rPr>
          <w:b w:val="0"/>
          <w:vertAlign w:val="baseline"/>
        </w:rPr>
        <w:t>érzékeny, középerős növekedésű, korán fordul termőre és rendszeresen, sokat terem, a gyümölcsök egyszerre érnek be, nincs szükség sok menetes betakarításra. Gyümölcse jó gyümölcshús</w:t>
      </w:r>
      <w:r w:rsidR="00B316AB" w:rsidRPr="00746B4D">
        <w:rPr>
          <w:b w:val="0"/>
          <w:vertAlign w:val="baseline"/>
        </w:rPr>
        <w:t xml:space="preserve">- </w:t>
      </w:r>
      <w:r w:rsidRPr="00746B4D">
        <w:rPr>
          <w:b w:val="0"/>
          <w:vertAlign w:val="baseline"/>
        </w:rPr>
        <w:t xml:space="preserve">keménységű, főleg a napos oldalon intenzíven </w:t>
      </w:r>
      <w:proofErr w:type="spellStart"/>
      <w:r w:rsidRPr="00746B4D">
        <w:rPr>
          <w:b w:val="0"/>
          <w:vertAlign w:val="baseline"/>
        </w:rPr>
        <w:t>narancspirosra</w:t>
      </w:r>
      <w:proofErr w:type="spellEnd"/>
      <w:r w:rsidRPr="00746B4D">
        <w:rPr>
          <w:b w:val="0"/>
          <w:vertAlign w:val="baseline"/>
        </w:rPr>
        <w:t xml:space="preserve"> színeződő, jól bírja a manipulálást és a tárolást. Sokat terem az egyéves vesszőkön, ezért is jó a termőképessége. Részben </w:t>
      </w:r>
      <w:proofErr w:type="spellStart"/>
      <w:r w:rsidRPr="00746B4D">
        <w:rPr>
          <w:b w:val="0"/>
          <w:vertAlign w:val="baseline"/>
        </w:rPr>
        <w:t>öntermékeny</w:t>
      </w:r>
      <w:proofErr w:type="spellEnd"/>
      <w:r w:rsidRPr="00746B4D">
        <w:rPr>
          <w:b w:val="0"/>
          <w:vertAlign w:val="baseline"/>
        </w:rPr>
        <w:t xml:space="preserve">, porzó fajtái, az Aurora, </w:t>
      </w:r>
      <w:proofErr w:type="spellStart"/>
      <w:r w:rsidRPr="00746B4D">
        <w:rPr>
          <w:b w:val="0"/>
          <w:vertAlign w:val="baseline"/>
        </w:rPr>
        <w:t>Hargrand</w:t>
      </w:r>
      <w:proofErr w:type="spellEnd"/>
      <w:r w:rsidRPr="00746B4D">
        <w:rPr>
          <w:b w:val="0"/>
          <w:vertAlign w:val="baseline"/>
        </w:rPr>
        <w:t xml:space="preserve"> és a </w:t>
      </w:r>
      <w:proofErr w:type="spellStart"/>
      <w:proofErr w:type="gramStart"/>
      <w:r w:rsidRPr="00746B4D">
        <w:rPr>
          <w:b w:val="0"/>
          <w:vertAlign w:val="baseline"/>
        </w:rPr>
        <w:t>Pin</w:t>
      </w:r>
      <w:r w:rsidR="00CD4EF2">
        <w:rPr>
          <w:b w:val="0"/>
          <w:vertAlign w:val="baseline"/>
        </w:rPr>
        <w:t>k</w:t>
      </w:r>
      <w:r w:rsidRPr="00746B4D">
        <w:rPr>
          <w:b w:val="0"/>
          <w:vertAlign w:val="baseline"/>
        </w:rPr>
        <w:t>cot</w:t>
      </w:r>
      <w:proofErr w:type="spellEnd"/>
      <w:r w:rsidRPr="00746B4D">
        <w:rPr>
          <w:b w:val="0"/>
          <w:vertAlign w:val="baseline"/>
        </w:rPr>
        <w:t xml:space="preserve"> </w:t>
      </w:r>
      <w:r w:rsidRPr="00746B4D">
        <w:rPr>
          <w:b w:val="0"/>
        </w:rPr>
        <w:t>®</w:t>
      </w:r>
      <w:proofErr w:type="gramEnd"/>
      <w:r w:rsidRPr="00746B4D">
        <w:rPr>
          <w:b w:val="0"/>
          <w:vertAlign w:val="baseline"/>
        </w:rPr>
        <w:t xml:space="preserve"> ültetésével azonban még biztosabbá tudjuk tenni a termésmennyiséget. </w:t>
      </w:r>
    </w:p>
    <w:p w:rsidR="00044D79" w:rsidRDefault="00044D79" w:rsidP="003E1219">
      <w:pPr>
        <w:rPr>
          <w:b w:val="0"/>
          <w:vertAlign w:val="baseline"/>
        </w:rPr>
      </w:pPr>
    </w:p>
    <w:p w:rsidR="00044D79" w:rsidRDefault="00044D79" w:rsidP="00044D79">
      <w:pPr>
        <w:jc w:val="center"/>
        <w:rPr>
          <w:b w:val="0"/>
          <w:vertAlign w:val="baseline"/>
        </w:rPr>
      </w:pPr>
      <w:r>
        <w:rPr>
          <w:noProof/>
        </w:rPr>
        <w:drawing>
          <wp:inline distT="0" distB="0" distL="0" distR="0" wp14:anchorId="477DB998" wp14:editId="3D45DCCD">
            <wp:extent cx="3768256" cy="2520000"/>
            <wp:effectExtent l="0" t="0" r="3810" b="0"/>
            <wp:docPr id="1" name="Kép 1" descr="P:\Pictures\Kajszi mappa\Goldr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ictures\Kajszi mappa\Goldri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79" w:rsidRDefault="00044D79" w:rsidP="00044D79">
      <w:pPr>
        <w:jc w:val="center"/>
        <w:rPr>
          <w:b w:val="0"/>
          <w:vertAlign w:val="baseline"/>
        </w:rPr>
      </w:pPr>
    </w:p>
    <w:p w:rsidR="00044D79" w:rsidRDefault="00044D79" w:rsidP="00044D79">
      <w:pPr>
        <w:pStyle w:val="Nincstrkz"/>
        <w:jc w:val="center"/>
        <w:rPr>
          <w:rFonts w:ascii="Arial" w:hAnsi="Arial" w:cs="Arial"/>
          <w:b/>
          <w:sz w:val="20"/>
          <w:szCs w:val="20"/>
          <w:lang w:eastAsia="hu-HU"/>
        </w:rPr>
      </w:pPr>
      <w:proofErr w:type="spellStart"/>
      <w:r w:rsidRPr="006E008D">
        <w:rPr>
          <w:rFonts w:ascii="Arial" w:hAnsi="Arial" w:cs="Arial"/>
          <w:b/>
          <w:sz w:val="20"/>
          <w:szCs w:val="20"/>
          <w:lang w:eastAsia="hu-HU"/>
        </w:rPr>
        <w:t>Goldrich</w:t>
      </w:r>
      <w:proofErr w:type="spellEnd"/>
      <w:r w:rsidRPr="006E008D">
        <w:rPr>
          <w:rFonts w:ascii="Arial" w:hAnsi="Arial" w:cs="Arial"/>
          <w:b/>
          <w:sz w:val="20"/>
          <w:szCs w:val="20"/>
          <w:lang w:eastAsia="hu-HU"/>
        </w:rPr>
        <w:t xml:space="preserve"> </w:t>
      </w:r>
      <w:proofErr w:type="spellStart"/>
      <w:r w:rsidRPr="006E008D">
        <w:rPr>
          <w:rFonts w:ascii="Arial" w:hAnsi="Arial" w:cs="Arial"/>
          <w:b/>
          <w:sz w:val="20"/>
          <w:szCs w:val="20"/>
          <w:lang w:eastAsia="hu-HU"/>
        </w:rPr>
        <w:t>Sungiant</w:t>
      </w:r>
      <w:proofErr w:type="spellEnd"/>
    </w:p>
    <w:p w:rsidR="00044D79" w:rsidRDefault="00044D79" w:rsidP="00044D79">
      <w:pPr>
        <w:jc w:val="center"/>
        <w:rPr>
          <w:rFonts w:cs="Times New Roman"/>
          <w:sz w:val="24"/>
          <w:szCs w:val="24"/>
          <w:vertAlign w:val="baseline"/>
        </w:rPr>
      </w:pPr>
      <w:r w:rsidRPr="00E951DA">
        <w:rPr>
          <w:b w:val="0"/>
          <w:vertAlign w:val="baseline"/>
        </w:rPr>
        <w:t xml:space="preserve">(Fotó: </w:t>
      </w:r>
      <w:proofErr w:type="spellStart"/>
      <w:r w:rsidRPr="00E951DA">
        <w:rPr>
          <w:b w:val="0"/>
          <w:vertAlign w:val="baseline"/>
        </w:rPr>
        <w:t>Palesits</w:t>
      </w:r>
      <w:proofErr w:type="spellEnd"/>
      <w:r w:rsidRPr="00E951DA">
        <w:rPr>
          <w:b w:val="0"/>
          <w:vertAlign w:val="baseline"/>
        </w:rPr>
        <w:t xml:space="preserve"> Zsolt)</w:t>
      </w:r>
    </w:p>
    <w:p w:rsidR="00044D79" w:rsidRPr="00746B4D" w:rsidRDefault="00044D79" w:rsidP="00044D79">
      <w:pPr>
        <w:jc w:val="center"/>
        <w:rPr>
          <w:b w:val="0"/>
          <w:vertAlign w:val="baseline"/>
        </w:rPr>
      </w:pPr>
    </w:p>
    <w:p w:rsidR="00DA3621" w:rsidRDefault="00DA3621" w:rsidP="003E1219">
      <w:pPr>
        <w:rPr>
          <w:b w:val="0"/>
          <w:sz w:val="22"/>
          <w:szCs w:val="22"/>
          <w:vertAlign w:val="baseline"/>
        </w:rPr>
      </w:pPr>
    </w:p>
    <w:p w:rsidR="00DA3621" w:rsidRPr="00AC6B2D" w:rsidRDefault="00DA3621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vertAlign w:val="baseline"/>
        </w:rPr>
      </w:pPr>
      <w:proofErr w:type="spellStart"/>
      <w:proofErr w:type="gramStart"/>
      <w:r w:rsidRPr="00746B4D">
        <w:rPr>
          <w:sz w:val="22"/>
          <w:szCs w:val="22"/>
          <w:vertAlign w:val="baseline"/>
        </w:rPr>
        <w:t>Adriana</w:t>
      </w:r>
      <w:proofErr w:type="spellEnd"/>
      <w:r w:rsidRPr="00746B4D">
        <w:rPr>
          <w:sz w:val="22"/>
          <w:szCs w:val="22"/>
        </w:rPr>
        <w:t>(</w:t>
      </w:r>
      <w:proofErr w:type="gramEnd"/>
      <w:r w:rsidRPr="00746B4D">
        <w:rPr>
          <w:sz w:val="22"/>
          <w:szCs w:val="22"/>
        </w:rPr>
        <w:t>S)</w:t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  <w:t>ÚJDONSÁG!</w:t>
      </w:r>
    </w:p>
    <w:p w:rsidR="00DA3621" w:rsidRDefault="00DA3621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vertAlign w:val="baseline"/>
        </w:rPr>
      </w:pPr>
      <w:proofErr w:type="spellStart"/>
      <w:r w:rsidRPr="00746B4D">
        <w:rPr>
          <w:b w:val="0"/>
          <w:vertAlign w:val="baseline"/>
        </w:rPr>
        <w:t>Lednicei</w:t>
      </w:r>
      <w:proofErr w:type="spellEnd"/>
      <w:r w:rsidRPr="00746B4D">
        <w:rPr>
          <w:b w:val="0"/>
          <w:vertAlign w:val="baseline"/>
        </w:rPr>
        <w:t xml:space="preserve"> (CZ) nemesítésű </w:t>
      </w:r>
      <w:proofErr w:type="spellStart"/>
      <w:r w:rsidRPr="00746B4D">
        <w:rPr>
          <w:b w:val="0"/>
          <w:vertAlign w:val="baseline"/>
        </w:rPr>
        <w:t>sharka</w:t>
      </w:r>
      <w:proofErr w:type="spellEnd"/>
      <w:r w:rsidRPr="00746B4D">
        <w:rPr>
          <w:b w:val="0"/>
          <w:vertAlign w:val="baseline"/>
        </w:rPr>
        <w:t xml:space="preserve"> vírus ellenálló </w:t>
      </w:r>
      <w:proofErr w:type="gramStart"/>
      <w:r w:rsidRPr="00746B4D">
        <w:rPr>
          <w:b w:val="0"/>
          <w:vertAlign w:val="baseline"/>
        </w:rPr>
        <w:t>új fajta</w:t>
      </w:r>
      <w:proofErr w:type="gramEnd"/>
      <w:r w:rsidRPr="00746B4D">
        <w:rPr>
          <w:b w:val="0"/>
          <w:vertAlign w:val="baseline"/>
        </w:rPr>
        <w:t>. Fája közép erős növekedésű, kerek, szétterülő koronával. Termékenysége közepes, vagy nagy. 3 nappal a Magyar kajszi előtt érik. Íze nagyon jó, húsa kemény. Gyümölcs mérete közepes, 55 g átlagsúllyal. Első sorban friss piaci fajtának ajánlják!</w:t>
      </w:r>
    </w:p>
    <w:p w:rsidR="00E951DA" w:rsidRDefault="00E951DA" w:rsidP="003E1219">
      <w:pPr>
        <w:rPr>
          <w:b w:val="0"/>
          <w:vertAlign w:val="baseline"/>
        </w:rPr>
      </w:pPr>
    </w:p>
    <w:p w:rsidR="00044D79" w:rsidRDefault="00044D79" w:rsidP="003E1219">
      <w:pPr>
        <w:rPr>
          <w:b w:val="0"/>
          <w:vertAlign w:val="baseline"/>
        </w:rPr>
      </w:pPr>
    </w:p>
    <w:p w:rsidR="00044D79" w:rsidRPr="00746B4D" w:rsidRDefault="00044D79" w:rsidP="003E1219">
      <w:pPr>
        <w:rPr>
          <w:b w:val="0"/>
          <w:vertAlign w:val="baseline"/>
        </w:rPr>
      </w:pPr>
    </w:p>
    <w:p w:rsidR="00DA3621" w:rsidRPr="00AC6B2D" w:rsidRDefault="00DA3621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vertAlign w:val="baseline"/>
        </w:rPr>
      </w:pPr>
      <w:proofErr w:type="spellStart"/>
      <w:proofErr w:type="gramStart"/>
      <w:r w:rsidRPr="00746B4D">
        <w:rPr>
          <w:sz w:val="22"/>
          <w:szCs w:val="22"/>
          <w:vertAlign w:val="baseline"/>
        </w:rPr>
        <w:t>Betinka</w:t>
      </w:r>
      <w:proofErr w:type="spellEnd"/>
      <w:r w:rsidRPr="00746B4D">
        <w:rPr>
          <w:sz w:val="22"/>
          <w:szCs w:val="22"/>
        </w:rPr>
        <w:t>(</w:t>
      </w:r>
      <w:proofErr w:type="gramEnd"/>
      <w:r w:rsidRPr="00746B4D">
        <w:rPr>
          <w:sz w:val="22"/>
          <w:szCs w:val="22"/>
        </w:rPr>
        <w:t>S)</w:t>
      </w:r>
      <w:r w:rsidR="00AC6B2D">
        <w:rPr>
          <w:sz w:val="22"/>
          <w:szCs w:val="22"/>
        </w:rPr>
        <w:tab/>
      </w:r>
      <w:r w:rsidR="00AC6B2D">
        <w:rPr>
          <w:sz w:val="22"/>
          <w:szCs w:val="22"/>
        </w:rPr>
        <w:tab/>
      </w:r>
      <w:r w:rsidR="00AC6B2D">
        <w:rPr>
          <w:sz w:val="22"/>
          <w:szCs w:val="22"/>
        </w:rPr>
        <w:tab/>
      </w:r>
      <w:r w:rsidR="00AC6B2D">
        <w:rPr>
          <w:sz w:val="22"/>
          <w:szCs w:val="22"/>
        </w:rPr>
        <w:tab/>
      </w:r>
      <w:r w:rsidR="00AC6B2D">
        <w:rPr>
          <w:sz w:val="22"/>
          <w:szCs w:val="22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  <w:t>ÚJDONSÁG!</w:t>
      </w:r>
    </w:p>
    <w:p w:rsidR="00DA3621" w:rsidRPr="00746B4D" w:rsidRDefault="00DA3621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vertAlign w:val="baseline"/>
        </w:rPr>
      </w:pPr>
      <w:proofErr w:type="spellStart"/>
      <w:r w:rsidRPr="00746B4D">
        <w:rPr>
          <w:b w:val="0"/>
          <w:vertAlign w:val="baseline"/>
        </w:rPr>
        <w:t>Lednicei</w:t>
      </w:r>
      <w:proofErr w:type="spellEnd"/>
      <w:r w:rsidRPr="00746B4D">
        <w:rPr>
          <w:b w:val="0"/>
          <w:vertAlign w:val="baseline"/>
        </w:rPr>
        <w:t xml:space="preserve"> (CZ) nemesítés</w:t>
      </w:r>
      <w:r w:rsidR="0045773F" w:rsidRPr="00746B4D">
        <w:rPr>
          <w:b w:val="0"/>
          <w:vertAlign w:val="baseline"/>
        </w:rPr>
        <w:t xml:space="preserve">. </w:t>
      </w:r>
      <w:proofErr w:type="spellStart"/>
      <w:r w:rsidR="0045773F" w:rsidRPr="00746B4D">
        <w:rPr>
          <w:b w:val="0"/>
          <w:vertAlign w:val="baseline"/>
        </w:rPr>
        <w:t>Sharka-vírus</w:t>
      </w:r>
      <w:proofErr w:type="spellEnd"/>
      <w:r w:rsidR="0045773F" w:rsidRPr="00746B4D">
        <w:rPr>
          <w:b w:val="0"/>
          <w:vertAlign w:val="baseline"/>
        </w:rPr>
        <w:t xml:space="preserve"> ellenálló! Bőtermő, közép nagy- nagy gyümölcsméret jellemzi, 57 g átlagsúllyal. Húskeménysége kiemelkedő, íze nagyon jó, szép megjelenésű gyümölcs. Fája erős, felálló ágrendszerrel. A Magyar kajszi után 2 nappal kezd érni. Elsősorban friss piacra ajánlják!</w:t>
      </w:r>
    </w:p>
    <w:p w:rsidR="00F22BA8" w:rsidRDefault="00F22BA8" w:rsidP="003E1219">
      <w:pPr>
        <w:rPr>
          <w:sz w:val="24"/>
          <w:szCs w:val="24"/>
          <w:vertAlign w:val="baseline"/>
        </w:rPr>
      </w:pPr>
    </w:p>
    <w:p w:rsidR="00AC6B2D" w:rsidRDefault="00AC6B2D" w:rsidP="003E1219">
      <w:pPr>
        <w:rPr>
          <w:b w:val="0"/>
          <w:vertAlign w:val="baseline"/>
        </w:rPr>
      </w:pPr>
    </w:p>
    <w:p w:rsidR="00022E6A" w:rsidRDefault="00022E6A" w:rsidP="00022E6A">
      <w:pPr>
        <w:jc w:val="center"/>
        <w:rPr>
          <w:b w:val="0"/>
          <w:sz w:val="22"/>
          <w:szCs w:val="22"/>
          <w:vertAlign w:val="baseline"/>
        </w:rPr>
      </w:pPr>
      <w:r>
        <w:rPr>
          <w:noProof/>
        </w:rPr>
        <w:drawing>
          <wp:inline distT="0" distB="0" distL="0" distR="0" wp14:anchorId="6AFB5E75" wp14:editId="1CA033E8">
            <wp:extent cx="3360000" cy="2520000"/>
            <wp:effectExtent l="0" t="0" r="0" b="0"/>
            <wp:docPr id="4" name="Kép 4" descr="http://www.palesitsfaiskola.hu/image/fajtak/big/kajsz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lesitsfaiskola.hu/image/fajtak/big/kajszi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6A" w:rsidRDefault="00022E6A" w:rsidP="00022E6A">
      <w:pPr>
        <w:jc w:val="center"/>
        <w:rPr>
          <w:sz w:val="22"/>
          <w:szCs w:val="22"/>
          <w:vertAlign w:val="baseline"/>
        </w:rPr>
      </w:pPr>
      <w:proofErr w:type="spellStart"/>
      <w:r>
        <w:rPr>
          <w:sz w:val="22"/>
          <w:szCs w:val="22"/>
          <w:vertAlign w:val="baseline"/>
        </w:rPr>
        <w:t>Bergeron</w:t>
      </w:r>
      <w:proofErr w:type="spellEnd"/>
    </w:p>
    <w:p w:rsidR="003E1219" w:rsidRDefault="00022E6A" w:rsidP="00E951DA">
      <w:pPr>
        <w:jc w:val="center"/>
        <w:rPr>
          <w:b w:val="0"/>
          <w:sz w:val="22"/>
          <w:szCs w:val="22"/>
          <w:vertAlign w:val="baseline"/>
        </w:rPr>
      </w:pPr>
      <w:r>
        <w:rPr>
          <w:b w:val="0"/>
          <w:sz w:val="22"/>
          <w:szCs w:val="22"/>
          <w:vertAlign w:val="baseline"/>
        </w:rPr>
        <w:t xml:space="preserve">(Fotó: </w:t>
      </w:r>
      <w:proofErr w:type="spellStart"/>
      <w:r>
        <w:rPr>
          <w:b w:val="0"/>
          <w:sz w:val="22"/>
          <w:szCs w:val="22"/>
          <w:vertAlign w:val="baseline"/>
        </w:rPr>
        <w:t>Palesits</w:t>
      </w:r>
      <w:proofErr w:type="spellEnd"/>
      <w:r>
        <w:rPr>
          <w:b w:val="0"/>
          <w:sz w:val="22"/>
          <w:szCs w:val="22"/>
          <w:vertAlign w:val="baseline"/>
        </w:rPr>
        <w:t xml:space="preserve"> Zsolt)</w:t>
      </w:r>
    </w:p>
    <w:p w:rsidR="00044D79" w:rsidRPr="003E1219" w:rsidRDefault="00044D79" w:rsidP="00044D79">
      <w:pPr>
        <w:rPr>
          <w:sz w:val="24"/>
          <w:szCs w:val="24"/>
          <w:vertAlign w:val="baseline"/>
        </w:rPr>
      </w:pPr>
      <w:proofErr w:type="spellStart"/>
      <w:r w:rsidRPr="00746B4D">
        <w:rPr>
          <w:sz w:val="22"/>
          <w:szCs w:val="22"/>
          <w:vertAlign w:val="baseline"/>
        </w:rPr>
        <w:t>Bergeron</w:t>
      </w:r>
      <w:proofErr w:type="spellEnd"/>
    </w:p>
    <w:p w:rsidR="00044D79" w:rsidRDefault="00044D79" w:rsidP="00044D79">
      <w:pPr>
        <w:rPr>
          <w:b w:val="0"/>
          <w:vertAlign w:val="baseline"/>
        </w:rPr>
      </w:pPr>
      <w:r w:rsidRPr="00746B4D">
        <w:rPr>
          <w:b w:val="0"/>
          <w:vertAlign w:val="baseline"/>
        </w:rPr>
        <w:t xml:space="preserve">Augusztus elején-közepén érő, közepes méretű, kerek gyümölcsű, narancssárga alapszínű, piros fedőszínű fajta. Fogyasztási érettségnél jó gyümölcshús-keménységű, leves, aromás gyümölcsű, de kissé kiegyenlítetlenül érik, többszöri színelő szedésére van szükség. A fája jó betegség-ellenálló, közép- vagy erős növekedésű és nagyon jó termőképességű, későn virágzik és </w:t>
      </w:r>
      <w:proofErr w:type="spellStart"/>
      <w:r w:rsidRPr="00746B4D">
        <w:rPr>
          <w:b w:val="0"/>
          <w:vertAlign w:val="baseline"/>
        </w:rPr>
        <w:t>öntermékeny</w:t>
      </w:r>
      <w:proofErr w:type="spellEnd"/>
      <w:r w:rsidRPr="00746B4D">
        <w:rPr>
          <w:b w:val="0"/>
          <w:vertAlign w:val="baseline"/>
        </w:rPr>
        <w:t xml:space="preserve">, ez biztosítja rendszeres és nagyon biztos terméshozási képességet. Mivel késői érésű, a szezon nyújthatósága miatt is igen keresett, a nagykereskedelem egyik fő fajtája jelenleg.  </w:t>
      </w:r>
    </w:p>
    <w:p w:rsidR="00044D79" w:rsidRDefault="00044D79" w:rsidP="003E1219">
      <w:pPr>
        <w:rPr>
          <w:sz w:val="22"/>
          <w:szCs w:val="22"/>
          <w:vertAlign w:val="baseline"/>
        </w:rPr>
      </w:pPr>
    </w:p>
    <w:p w:rsidR="00B1465E" w:rsidRPr="00AC6B2D" w:rsidRDefault="00B1465E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vertAlign w:val="baseline"/>
        </w:rPr>
      </w:pPr>
      <w:proofErr w:type="spellStart"/>
      <w:r>
        <w:rPr>
          <w:sz w:val="22"/>
          <w:szCs w:val="22"/>
          <w:vertAlign w:val="baseline"/>
        </w:rPr>
        <w:t>Farbuz</w:t>
      </w:r>
      <w:r>
        <w:rPr>
          <w:sz w:val="22"/>
          <w:szCs w:val="22"/>
        </w:rPr>
        <w:t>R</w:t>
      </w:r>
      <w:proofErr w:type="spellEnd"/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</w:r>
      <w:r w:rsidR="00AC6B2D">
        <w:rPr>
          <w:sz w:val="22"/>
          <w:szCs w:val="22"/>
          <w:vertAlign w:val="baseline"/>
        </w:rPr>
        <w:tab/>
        <w:t>ÚJDONSÁG!</w:t>
      </w:r>
    </w:p>
    <w:p w:rsidR="00B1465E" w:rsidRPr="00B1465E" w:rsidRDefault="00B1465E" w:rsidP="00AC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vertAlign w:val="baseline"/>
        </w:rPr>
      </w:pPr>
      <w:r>
        <w:rPr>
          <w:b w:val="0"/>
          <w:vertAlign w:val="baseline"/>
        </w:rPr>
        <w:t xml:space="preserve">Védett fajta, cseh keresztezésből származik </w:t>
      </w:r>
      <w:proofErr w:type="gramStart"/>
      <w:r>
        <w:rPr>
          <w:b w:val="0"/>
          <w:vertAlign w:val="baseline"/>
        </w:rPr>
        <w:t xml:space="preserve">( </w:t>
      </w:r>
      <w:proofErr w:type="spellStart"/>
      <w:r>
        <w:rPr>
          <w:b w:val="0"/>
          <w:vertAlign w:val="baseline"/>
        </w:rPr>
        <w:t>Farbaly</w:t>
      </w:r>
      <w:proofErr w:type="spellEnd"/>
      <w:proofErr w:type="gramEnd"/>
      <w:r>
        <w:rPr>
          <w:b w:val="0"/>
          <w:vertAlign w:val="baseline"/>
        </w:rPr>
        <w:t xml:space="preserve"> x Big Red). PPV rezisztens, de nem mutat tünetet rajta a </w:t>
      </w:r>
      <w:proofErr w:type="spellStart"/>
      <w:r>
        <w:rPr>
          <w:b w:val="0"/>
          <w:vertAlign w:val="baseline"/>
        </w:rPr>
        <w:t>Phytoplazma</w:t>
      </w:r>
      <w:proofErr w:type="spellEnd"/>
      <w:r>
        <w:rPr>
          <w:b w:val="0"/>
          <w:vertAlign w:val="baseline"/>
        </w:rPr>
        <w:t xml:space="preserve"> és a </w:t>
      </w:r>
      <w:proofErr w:type="spellStart"/>
      <w:r>
        <w:rPr>
          <w:b w:val="0"/>
          <w:vertAlign w:val="baseline"/>
        </w:rPr>
        <w:t>Pseudomonas</w:t>
      </w:r>
      <w:proofErr w:type="spellEnd"/>
      <w:r>
        <w:rPr>
          <w:b w:val="0"/>
          <w:vertAlign w:val="baseline"/>
        </w:rPr>
        <w:t xml:space="preserve"> sem! Nagyon ellenálló, a napégés sem jelenik meg a piros fedőszínnel mosott gyümölcsön. Ajánlják a telepítését fertőzött területekre is. Jelenleg tesztelik Franciaországban, Olaszországban, Ausztriában, Németországban és az USA-ban.10 nappal a </w:t>
      </w:r>
      <w:proofErr w:type="spellStart"/>
      <w:r>
        <w:rPr>
          <w:b w:val="0"/>
          <w:vertAlign w:val="baseline"/>
        </w:rPr>
        <w:t>Bergeron</w:t>
      </w:r>
      <w:proofErr w:type="spellEnd"/>
      <w:r>
        <w:rPr>
          <w:b w:val="0"/>
          <w:vertAlign w:val="baseline"/>
        </w:rPr>
        <w:t xml:space="preserve"> után érik, hosszan szedhető, kemény húsállománnyal rendelkezik. Ebből adódóan, kiválóan szállítható a gyümölcse.</w:t>
      </w:r>
    </w:p>
    <w:p w:rsidR="00B1465E" w:rsidRDefault="00B1465E" w:rsidP="003E1219">
      <w:pPr>
        <w:rPr>
          <w:b w:val="0"/>
          <w:sz w:val="22"/>
          <w:szCs w:val="22"/>
          <w:vertAlign w:val="baseline"/>
        </w:rPr>
      </w:pPr>
    </w:p>
    <w:p w:rsidR="00AC6B2D" w:rsidRDefault="00AC6B2D" w:rsidP="00B1465E">
      <w:pPr>
        <w:rPr>
          <w:sz w:val="22"/>
          <w:szCs w:val="22"/>
          <w:vertAlign w:val="baseline"/>
        </w:rPr>
      </w:pPr>
    </w:p>
    <w:p w:rsidR="00D718A3" w:rsidRDefault="00D718A3" w:rsidP="00B1465E">
      <w:pPr>
        <w:rPr>
          <w:sz w:val="22"/>
          <w:szCs w:val="22"/>
          <w:vertAlign w:val="baseline"/>
        </w:rPr>
      </w:pPr>
    </w:p>
    <w:p w:rsidR="00D718A3" w:rsidRDefault="00D718A3" w:rsidP="00B1465E">
      <w:pPr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Alany</w:t>
      </w:r>
      <w:r w:rsidR="00DC1D7F">
        <w:rPr>
          <w:sz w:val="22"/>
          <w:szCs w:val="22"/>
          <w:vertAlign w:val="baseline"/>
        </w:rPr>
        <w:t>:</w:t>
      </w:r>
    </w:p>
    <w:p w:rsidR="00D718A3" w:rsidRDefault="00D718A3" w:rsidP="00B1465E">
      <w:pPr>
        <w:rPr>
          <w:sz w:val="22"/>
          <w:szCs w:val="22"/>
          <w:vertAlign w:val="baseline"/>
        </w:rPr>
      </w:pPr>
    </w:p>
    <w:p w:rsidR="00D718A3" w:rsidRPr="00D718A3" w:rsidRDefault="00D718A3" w:rsidP="00D718A3">
      <w:pPr>
        <w:rPr>
          <w:rFonts w:eastAsiaTheme="minorHAnsi"/>
          <w:vertAlign w:val="baseline"/>
          <w:lang w:eastAsia="en-US"/>
        </w:rPr>
      </w:pPr>
      <w:r w:rsidRPr="00D718A3">
        <w:rPr>
          <w:rFonts w:eastAsiaTheme="minorHAnsi"/>
          <w:vertAlign w:val="baseline"/>
          <w:lang w:eastAsia="en-US"/>
        </w:rPr>
        <w:t xml:space="preserve">St. </w:t>
      </w:r>
      <w:proofErr w:type="spellStart"/>
      <w:r w:rsidRPr="00D718A3">
        <w:rPr>
          <w:rFonts w:eastAsiaTheme="minorHAnsi"/>
          <w:vertAlign w:val="baseline"/>
          <w:lang w:eastAsia="en-US"/>
        </w:rPr>
        <w:t>Julien</w:t>
      </w:r>
      <w:proofErr w:type="spellEnd"/>
      <w:r w:rsidRPr="00D718A3">
        <w:rPr>
          <w:rFonts w:eastAsiaTheme="minorHAnsi"/>
          <w:vertAlign w:val="baseline"/>
          <w:lang w:eastAsia="en-US"/>
        </w:rPr>
        <w:t xml:space="preserve"> </w:t>
      </w:r>
      <w:proofErr w:type="gramStart"/>
      <w:r w:rsidRPr="00D718A3">
        <w:rPr>
          <w:rFonts w:eastAsiaTheme="minorHAnsi"/>
          <w:vertAlign w:val="baseline"/>
          <w:lang w:eastAsia="en-US"/>
        </w:rPr>
        <w:t>A</w:t>
      </w:r>
      <w:proofErr w:type="gramEnd"/>
    </w:p>
    <w:p w:rsidR="00D718A3" w:rsidRPr="00D718A3" w:rsidRDefault="00D718A3" w:rsidP="00D718A3">
      <w:pPr>
        <w:rPr>
          <w:rFonts w:eastAsiaTheme="minorHAnsi"/>
          <w:b w:val="0"/>
          <w:vertAlign w:val="baseline"/>
          <w:lang w:eastAsia="en-US"/>
        </w:rPr>
      </w:pPr>
      <w:proofErr w:type="spellStart"/>
      <w:r w:rsidRPr="00D718A3">
        <w:rPr>
          <w:rFonts w:eastAsiaTheme="minorHAnsi"/>
          <w:b w:val="0"/>
          <w:vertAlign w:val="baseline"/>
          <w:lang w:eastAsia="en-US"/>
        </w:rPr>
        <w:t>East-Mallingban</w:t>
      </w:r>
      <w:proofErr w:type="spellEnd"/>
      <w:r w:rsidRPr="00D718A3">
        <w:rPr>
          <w:rFonts w:eastAsiaTheme="minorHAnsi"/>
          <w:b w:val="0"/>
          <w:vertAlign w:val="baseline"/>
          <w:lang w:eastAsia="en-US"/>
        </w:rPr>
        <w:t xml:space="preserve"> (Anglia) szelektált alany, melyet elsősorban szilvákhoz ajánlanak, de kajszibarack alanyként is kiváló. Vegetatív úton, fás dugványról szaporítják leggyakrabban. A fákat jól rögzíti a talajban. Közepes erősségű oltványokat ad. Csemetéje felfelé törő, héjkérge szürkés barna, kékes vörös mosottsággal. Csemetéi jól szemezhetőek, a faiskolában kevés elágazást hoz, alig hoz tősarjat. </w:t>
      </w:r>
    </w:p>
    <w:p w:rsidR="00D718A3" w:rsidRPr="00D718A3" w:rsidRDefault="00D718A3" w:rsidP="00D718A3">
      <w:pPr>
        <w:rPr>
          <w:rFonts w:eastAsiaTheme="minorHAnsi"/>
          <w:b w:val="0"/>
          <w:vertAlign w:val="baseline"/>
          <w:lang w:eastAsia="en-US"/>
        </w:rPr>
      </w:pPr>
      <w:r w:rsidRPr="00D718A3">
        <w:rPr>
          <w:rFonts w:eastAsiaTheme="minorHAnsi"/>
          <w:b w:val="0"/>
          <w:vertAlign w:val="baseline"/>
          <w:lang w:eastAsia="en-US"/>
        </w:rPr>
        <w:t>Télállósága kiváló. Nem szárazság tűrő alany, ezért intenzív, öntözött ültetvények alanyául használható leginkább.</w:t>
      </w:r>
    </w:p>
    <w:p w:rsidR="00D718A3" w:rsidRDefault="00D718A3" w:rsidP="00B1465E">
      <w:pPr>
        <w:rPr>
          <w:sz w:val="22"/>
          <w:szCs w:val="22"/>
          <w:vertAlign w:val="baseline"/>
        </w:rPr>
      </w:pPr>
    </w:p>
    <w:sectPr w:rsidR="00D718A3" w:rsidSect="005E0E62">
      <w:headerReference w:type="default" r:id="rId12"/>
      <w:footerReference w:type="default" r:id="rId13"/>
      <w:type w:val="continuous"/>
      <w:pgSz w:w="11905" w:h="16837" w:code="9"/>
      <w:pgMar w:top="851" w:right="1418" w:bottom="851" w:left="1418" w:header="709" w:footer="709" w:gutter="0"/>
      <w:cols w:space="708"/>
      <w:noEndnote/>
      <w:docGrid w:linePitch="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32" w:rsidRDefault="00E42632">
      <w:r>
        <w:separator/>
      </w:r>
    </w:p>
  </w:endnote>
  <w:endnote w:type="continuationSeparator" w:id="0">
    <w:p w:rsidR="00E42632" w:rsidRDefault="00E4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692174"/>
      <w:docPartObj>
        <w:docPartGallery w:val="Page Numbers (Bottom of Page)"/>
        <w:docPartUnique/>
      </w:docPartObj>
    </w:sdtPr>
    <w:sdtEndPr/>
    <w:sdtContent>
      <w:p w:rsidR="00044D79" w:rsidRDefault="00044D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D7F">
          <w:rPr>
            <w:noProof/>
          </w:rPr>
          <w:t>1</w:t>
        </w:r>
        <w:r>
          <w:fldChar w:fldCharType="end"/>
        </w:r>
      </w:p>
    </w:sdtContent>
  </w:sdt>
  <w:p w:rsidR="0096694E" w:rsidRDefault="009669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32" w:rsidRDefault="00E42632">
      <w:r>
        <w:separator/>
      </w:r>
    </w:p>
  </w:footnote>
  <w:footnote w:type="continuationSeparator" w:id="0">
    <w:p w:rsidR="00E42632" w:rsidRDefault="00E4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4E" w:rsidRPr="003E1219" w:rsidRDefault="0096694E" w:rsidP="004A427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szCs w:val="24"/>
        <w:vertAlign w:val="baseline"/>
      </w:rPr>
    </w:pPr>
    <w:r w:rsidRPr="003E1219">
      <w:rPr>
        <w:szCs w:val="28"/>
        <w:vertAlign w:val="baseline"/>
      </w:rPr>
      <w:t>PALESITS FAISKOLAI KFT.</w:t>
    </w:r>
    <w:r w:rsidRPr="003E1219">
      <w:rPr>
        <w:b w:val="0"/>
        <w:szCs w:val="28"/>
        <w:vertAlign w:val="baseline"/>
      </w:rPr>
      <w:tab/>
    </w:r>
    <w:r w:rsidRPr="003E1219">
      <w:rPr>
        <w:b w:val="0"/>
        <w:szCs w:val="24"/>
        <w:vertAlign w:val="baseline"/>
      </w:rPr>
      <w:tab/>
    </w:r>
    <w:r w:rsidRPr="003E1219">
      <w:rPr>
        <w:b w:val="0"/>
        <w:szCs w:val="24"/>
        <w:vertAlign w:val="baseline"/>
      </w:rPr>
      <w:tab/>
    </w:r>
    <w:r w:rsidRPr="003E1219">
      <w:rPr>
        <w:b w:val="0"/>
        <w:szCs w:val="24"/>
        <w:vertAlign w:val="baseline"/>
      </w:rPr>
      <w:tab/>
    </w:r>
    <w:r w:rsidRPr="003E1219">
      <w:rPr>
        <w:i/>
        <w:szCs w:val="24"/>
        <w:vertAlign w:val="baseline"/>
      </w:rPr>
      <w:t>PALESITS ZSOLT</w:t>
    </w:r>
    <w:r>
      <w:rPr>
        <w:i/>
        <w:szCs w:val="24"/>
        <w:vertAlign w:val="baseline"/>
      </w:rPr>
      <w:tab/>
    </w:r>
    <w:r w:rsidRPr="003E1219">
      <w:rPr>
        <w:b w:val="0"/>
        <w:i/>
        <w:szCs w:val="24"/>
        <w:vertAlign w:val="baseline"/>
      </w:rPr>
      <w:t>30/ 557 3964</w:t>
    </w:r>
  </w:p>
  <w:p w:rsidR="0096694E" w:rsidRPr="003E1219" w:rsidRDefault="0096694E" w:rsidP="004A427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 w:val="0"/>
        <w:i/>
        <w:szCs w:val="24"/>
        <w:vertAlign w:val="baseline"/>
      </w:rPr>
    </w:pPr>
    <w:r w:rsidRPr="003E1219">
      <w:rPr>
        <w:b w:val="0"/>
        <w:szCs w:val="24"/>
        <w:vertAlign w:val="baseline"/>
      </w:rPr>
      <w:t>H-2730 ALBERTIRSA, BAROSS U. 14/1.</w:t>
    </w:r>
    <w:r w:rsidRPr="003E1219">
      <w:rPr>
        <w:b w:val="0"/>
        <w:szCs w:val="24"/>
        <w:vertAlign w:val="baseline"/>
      </w:rPr>
      <w:tab/>
    </w:r>
    <w:r w:rsidRPr="003E1219">
      <w:rPr>
        <w:b w:val="0"/>
        <w:szCs w:val="24"/>
        <w:vertAlign w:val="baseline"/>
      </w:rPr>
      <w:tab/>
    </w:r>
    <w:r w:rsidRPr="003E1219">
      <w:rPr>
        <w:b w:val="0"/>
        <w:szCs w:val="24"/>
        <w:vertAlign w:val="baseline"/>
      </w:rPr>
      <w:tab/>
    </w:r>
    <w:r w:rsidRPr="003E1219">
      <w:rPr>
        <w:b w:val="0"/>
        <w:szCs w:val="24"/>
        <w:vertAlign w:val="baseline"/>
      </w:rPr>
      <w:tab/>
    </w:r>
  </w:p>
  <w:p w:rsidR="0096694E" w:rsidRDefault="0096694E" w:rsidP="004A427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b w:val="0"/>
        <w:i/>
        <w:szCs w:val="24"/>
        <w:vertAlign w:val="baseline"/>
      </w:rPr>
    </w:pPr>
    <w:r w:rsidRPr="003E1219">
      <w:rPr>
        <w:b w:val="0"/>
        <w:i/>
        <w:szCs w:val="24"/>
        <w:vertAlign w:val="baseline"/>
      </w:rPr>
      <w:t>Fax: 53/ 371</w:t>
    </w:r>
    <w:r>
      <w:rPr>
        <w:b w:val="0"/>
        <w:i/>
        <w:szCs w:val="24"/>
        <w:vertAlign w:val="baseline"/>
      </w:rPr>
      <w:t> </w:t>
    </w:r>
    <w:r w:rsidRPr="003E1219">
      <w:rPr>
        <w:b w:val="0"/>
        <w:i/>
        <w:szCs w:val="24"/>
        <w:vertAlign w:val="baseline"/>
      </w:rPr>
      <w:t>504</w:t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 w:rsidRPr="003E1219">
      <w:rPr>
        <w:i/>
        <w:szCs w:val="24"/>
        <w:vertAlign w:val="baseline"/>
      </w:rPr>
      <w:t>PALESITS ZSOLT</w:t>
    </w:r>
    <w:r>
      <w:rPr>
        <w:i/>
        <w:szCs w:val="24"/>
        <w:vertAlign w:val="baseline"/>
      </w:rPr>
      <w:t>NÉ</w:t>
    </w:r>
    <w:r>
      <w:rPr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>7</w:t>
    </w:r>
    <w:r w:rsidRPr="003E1219">
      <w:rPr>
        <w:b w:val="0"/>
        <w:i/>
        <w:szCs w:val="24"/>
        <w:vertAlign w:val="baseline"/>
      </w:rPr>
      <w:t xml:space="preserve">0/ </w:t>
    </w:r>
    <w:r>
      <w:rPr>
        <w:b w:val="0"/>
        <w:i/>
        <w:szCs w:val="24"/>
        <w:vertAlign w:val="baseline"/>
      </w:rPr>
      <w:t>211 1595</w:t>
    </w:r>
  </w:p>
  <w:p w:rsidR="0096694E" w:rsidRPr="006D3EBF" w:rsidRDefault="0096694E" w:rsidP="004A427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i/>
        <w:szCs w:val="24"/>
        <w:vertAlign w:val="baseline"/>
      </w:rPr>
    </w:pP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ab/>
    </w:r>
    <w:r w:rsidRPr="006D3EBF">
      <w:rPr>
        <w:i/>
        <w:szCs w:val="24"/>
        <w:vertAlign w:val="baseline"/>
      </w:rPr>
      <w:t>BEA</w:t>
    </w:r>
    <w:r w:rsidRPr="006D3EBF">
      <w:rPr>
        <w:i/>
        <w:szCs w:val="24"/>
        <w:vertAlign w:val="baseline"/>
      </w:rPr>
      <w:tab/>
    </w:r>
  </w:p>
  <w:p w:rsidR="0096694E" w:rsidRPr="003E1219" w:rsidRDefault="0096694E" w:rsidP="003E1219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4956" w:hanging="4956"/>
      <w:rPr>
        <w:vertAlign w:val="baseline"/>
      </w:rPr>
    </w:pPr>
    <w:r w:rsidRPr="003E1219">
      <w:rPr>
        <w:b w:val="0"/>
        <w:i/>
        <w:szCs w:val="24"/>
        <w:vertAlign w:val="baseline"/>
      </w:rPr>
      <w:t xml:space="preserve">E-mail: </w:t>
    </w:r>
    <w:hyperlink r:id="rId1" w:history="1">
      <w:r w:rsidRPr="000842FC">
        <w:rPr>
          <w:rStyle w:val="Hiperhivatkozs"/>
          <w:b w:val="0"/>
          <w:i/>
          <w:szCs w:val="24"/>
          <w:vertAlign w:val="baseline"/>
        </w:rPr>
        <w:t>palesitsfaiskola@gmail.com</w:t>
      </w:r>
    </w:hyperlink>
    <w:r w:rsidRPr="003E1219">
      <w:rPr>
        <w:b w:val="0"/>
        <w:i/>
        <w:szCs w:val="24"/>
        <w:vertAlign w:val="baseline"/>
      </w:rPr>
      <w:tab/>
    </w:r>
    <w:r>
      <w:rPr>
        <w:b w:val="0"/>
        <w:i/>
        <w:szCs w:val="24"/>
        <w:vertAlign w:val="baseline"/>
      </w:rPr>
      <w:t>We</w:t>
    </w:r>
    <w:r w:rsidRPr="003E1219">
      <w:rPr>
        <w:b w:val="0"/>
        <w:i/>
        <w:szCs w:val="24"/>
        <w:vertAlign w:val="baseline"/>
      </w:rPr>
      <w:t xml:space="preserve">b-lap: </w:t>
    </w:r>
    <w:hyperlink r:id="rId2" w:history="1">
      <w:r w:rsidRPr="003E1219">
        <w:rPr>
          <w:rStyle w:val="Hiperhivatkozs"/>
          <w:b w:val="0"/>
          <w:i/>
          <w:szCs w:val="24"/>
          <w:vertAlign w:val="baseline"/>
        </w:rPr>
        <w:t>www.palesitsfaiskola.hu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E6"/>
    <w:rsid w:val="00022E6A"/>
    <w:rsid w:val="00044D79"/>
    <w:rsid w:val="00070385"/>
    <w:rsid w:val="0007477D"/>
    <w:rsid w:val="00074F15"/>
    <w:rsid w:val="00092BA2"/>
    <w:rsid w:val="000A6C29"/>
    <w:rsid w:val="000D1777"/>
    <w:rsid w:val="000F4E65"/>
    <w:rsid w:val="00160D38"/>
    <w:rsid w:val="00170274"/>
    <w:rsid w:val="001978E6"/>
    <w:rsid w:val="001E7622"/>
    <w:rsid w:val="001F40DD"/>
    <w:rsid w:val="00227C92"/>
    <w:rsid w:val="00277AC7"/>
    <w:rsid w:val="002D18EC"/>
    <w:rsid w:val="002E00DF"/>
    <w:rsid w:val="002E0947"/>
    <w:rsid w:val="00316A9B"/>
    <w:rsid w:val="00320E65"/>
    <w:rsid w:val="00394740"/>
    <w:rsid w:val="0039548A"/>
    <w:rsid w:val="003E1219"/>
    <w:rsid w:val="003E7FF1"/>
    <w:rsid w:val="0045773F"/>
    <w:rsid w:val="004A4272"/>
    <w:rsid w:val="004F6CAE"/>
    <w:rsid w:val="0051393D"/>
    <w:rsid w:val="00555D34"/>
    <w:rsid w:val="00561A41"/>
    <w:rsid w:val="005E0E62"/>
    <w:rsid w:val="0060495F"/>
    <w:rsid w:val="00691D02"/>
    <w:rsid w:val="006B1267"/>
    <w:rsid w:val="006C1FA9"/>
    <w:rsid w:val="006D3EBF"/>
    <w:rsid w:val="006E3E7F"/>
    <w:rsid w:val="006F6536"/>
    <w:rsid w:val="007104B1"/>
    <w:rsid w:val="007266AA"/>
    <w:rsid w:val="00746B4D"/>
    <w:rsid w:val="00776938"/>
    <w:rsid w:val="007A2A57"/>
    <w:rsid w:val="00805941"/>
    <w:rsid w:val="00814235"/>
    <w:rsid w:val="00844FBE"/>
    <w:rsid w:val="00851FDC"/>
    <w:rsid w:val="00860C76"/>
    <w:rsid w:val="008A11A8"/>
    <w:rsid w:val="008D1399"/>
    <w:rsid w:val="008D5DED"/>
    <w:rsid w:val="00914894"/>
    <w:rsid w:val="00915891"/>
    <w:rsid w:val="0096694E"/>
    <w:rsid w:val="0098071E"/>
    <w:rsid w:val="00986B5C"/>
    <w:rsid w:val="009B4DF4"/>
    <w:rsid w:val="00AB0840"/>
    <w:rsid w:val="00AB5620"/>
    <w:rsid w:val="00AC6B2D"/>
    <w:rsid w:val="00AC6ED9"/>
    <w:rsid w:val="00B1465E"/>
    <w:rsid w:val="00B316AB"/>
    <w:rsid w:val="00B3707D"/>
    <w:rsid w:val="00BB3F40"/>
    <w:rsid w:val="00C3129A"/>
    <w:rsid w:val="00C9106A"/>
    <w:rsid w:val="00CB387C"/>
    <w:rsid w:val="00CC1FED"/>
    <w:rsid w:val="00CD4EF2"/>
    <w:rsid w:val="00CE206C"/>
    <w:rsid w:val="00D166CD"/>
    <w:rsid w:val="00D41D2C"/>
    <w:rsid w:val="00D616A8"/>
    <w:rsid w:val="00D718A3"/>
    <w:rsid w:val="00DA3621"/>
    <w:rsid w:val="00DA39DF"/>
    <w:rsid w:val="00DC1D7F"/>
    <w:rsid w:val="00DD50C8"/>
    <w:rsid w:val="00DF35C1"/>
    <w:rsid w:val="00E37732"/>
    <w:rsid w:val="00E42632"/>
    <w:rsid w:val="00E8758E"/>
    <w:rsid w:val="00E951DA"/>
    <w:rsid w:val="00EE2713"/>
    <w:rsid w:val="00F042C7"/>
    <w:rsid w:val="00F22BA8"/>
    <w:rsid w:val="00F5108B"/>
    <w:rsid w:val="00F63595"/>
    <w:rsid w:val="00F71479"/>
    <w:rsid w:val="00FE6CE6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272"/>
    <w:rPr>
      <w:rFonts w:ascii="Arial" w:hAnsi="Arial" w:cs="Arial"/>
      <w:b/>
      <w:vertAlign w:val="superscri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</w:style>
  <w:style w:type="paragraph" w:styleId="Feladcmebortkon">
    <w:name w:val="envelope return"/>
    <w:basedOn w:val="Norml"/>
    <w:rsid w:val="00FE6CE6"/>
    <w:rPr>
      <w:b w:val="0"/>
    </w:rPr>
  </w:style>
  <w:style w:type="paragraph" w:styleId="lfej">
    <w:name w:val="header"/>
    <w:basedOn w:val="Norml"/>
    <w:rsid w:val="004A427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A4272"/>
    <w:pPr>
      <w:tabs>
        <w:tab w:val="center" w:pos="4536"/>
        <w:tab w:val="right" w:pos="9072"/>
      </w:tabs>
    </w:pPr>
  </w:style>
  <w:style w:type="character" w:styleId="Hiperhivatkozs">
    <w:name w:val="Hyperlink"/>
    <w:rsid w:val="004A4272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5E0E62"/>
    <w:rPr>
      <w:rFonts w:ascii="Arial" w:hAnsi="Arial" w:cs="Arial"/>
      <w:b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A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A57"/>
    <w:rPr>
      <w:rFonts w:ascii="Tahoma" w:hAnsi="Tahoma" w:cs="Tahoma"/>
      <w:b/>
      <w:sz w:val="16"/>
      <w:szCs w:val="16"/>
      <w:vertAlign w:val="superscript"/>
    </w:rPr>
  </w:style>
  <w:style w:type="paragraph" w:styleId="Nincstrkz">
    <w:name w:val="No Spacing"/>
    <w:uiPriority w:val="1"/>
    <w:qFormat/>
    <w:rsid w:val="00044D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4272"/>
    <w:rPr>
      <w:rFonts w:ascii="Arial" w:hAnsi="Arial" w:cs="Arial"/>
      <w:b/>
      <w:vertAlign w:val="superscrip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FE6CE6"/>
    <w:pPr>
      <w:framePr w:w="7920" w:h="1980" w:hRule="exact" w:hSpace="141" w:wrap="auto" w:hAnchor="page" w:xAlign="center" w:yAlign="bottom"/>
      <w:ind w:left="2880"/>
    </w:pPr>
  </w:style>
  <w:style w:type="paragraph" w:styleId="Feladcmebortkon">
    <w:name w:val="envelope return"/>
    <w:basedOn w:val="Norml"/>
    <w:rsid w:val="00FE6CE6"/>
    <w:rPr>
      <w:b w:val="0"/>
    </w:rPr>
  </w:style>
  <w:style w:type="paragraph" w:styleId="lfej">
    <w:name w:val="header"/>
    <w:basedOn w:val="Norml"/>
    <w:rsid w:val="004A427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A4272"/>
    <w:pPr>
      <w:tabs>
        <w:tab w:val="center" w:pos="4536"/>
        <w:tab w:val="right" w:pos="9072"/>
      </w:tabs>
    </w:pPr>
  </w:style>
  <w:style w:type="character" w:styleId="Hiperhivatkozs">
    <w:name w:val="Hyperlink"/>
    <w:rsid w:val="004A4272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5E0E62"/>
    <w:rPr>
      <w:rFonts w:ascii="Arial" w:hAnsi="Arial" w:cs="Arial"/>
      <w:b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A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A57"/>
    <w:rPr>
      <w:rFonts w:ascii="Tahoma" w:hAnsi="Tahoma" w:cs="Tahoma"/>
      <w:b/>
      <w:sz w:val="16"/>
      <w:szCs w:val="16"/>
      <w:vertAlign w:val="superscript"/>
    </w:rPr>
  </w:style>
  <w:style w:type="paragraph" w:styleId="Nincstrkz">
    <w:name w:val="No Spacing"/>
    <w:uiPriority w:val="1"/>
    <w:qFormat/>
    <w:rsid w:val="00044D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esitsfaiskola.hu" TargetMode="External"/><Relationship Id="rId1" Type="http://schemas.openxmlformats.org/officeDocument/2006/relationships/hyperlink" Target="mailto:palesitsfaiskol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3534-EB32-4801-9CCC-303CBE2F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Plantex, kajszi árlista 2009</vt:lpstr>
    </vt:vector>
  </TitlesOfParts>
  <Company/>
  <LinksUpToDate>false</LinksUpToDate>
  <CharactersWithSpaces>6874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http://www.palesitsfaiskola.hu/</vt:lpwstr>
      </vt:variant>
      <vt:variant>
        <vt:lpwstr/>
      </vt:variant>
      <vt:variant>
        <vt:i4>1441919</vt:i4>
      </vt:variant>
      <vt:variant>
        <vt:i4>0</vt:i4>
      </vt:variant>
      <vt:variant>
        <vt:i4>0</vt:i4>
      </vt:variant>
      <vt:variant>
        <vt:i4>5</vt:i4>
      </vt:variant>
      <vt:variant>
        <vt:lpwstr>mailto:palesitsfaiskola@t-online.hu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Plantex, kajszi árlista 2009</dc:title>
  <dc:creator>Zsolt</dc:creator>
  <cp:lastModifiedBy>Palesits Zsolt</cp:lastModifiedBy>
  <cp:revision>3</cp:revision>
  <cp:lastPrinted>2022-05-29T14:41:00Z</cp:lastPrinted>
  <dcterms:created xsi:type="dcterms:W3CDTF">2023-05-18T13:24:00Z</dcterms:created>
  <dcterms:modified xsi:type="dcterms:W3CDTF">2023-05-18T13:29:00Z</dcterms:modified>
</cp:coreProperties>
</file>